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bCs/>
          <w:sz w:val="28"/>
          <w:szCs w:val="28"/>
        </w:rPr>
      </w:pPr>
      <w:r>
        <w:rPr>
          <w:rFonts w:hint="eastAsia"/>
          <w:b/>
          <w:bCs/>
          <w:sz w:val="28"/>
          <w:szCs w:val="28"/>
        </w:rPr>
        <w:t>常州工业职业技术学院物资采购询价单</w:t>
      </w:r>
    </w:p>
    <w:p>
      <w:pPr>
        <w:widowControl/>
        <w:jc w:val="center"/>
        <w:rPr>
          <w:b/>
          <w:bCs/>
          <w:sz w:val="21"/>
          <w:szCs w:val="21"/>
        </w:rPr>
      </w:pPr>
      <w:r>
        <w:rPr>
          <w:rFonts w:hint="eastAsia"/>
          <w:b/>
          <w:bCs/>
        </w:rPr>
        <w:t>标书编号：CZ</w:t>
      </w:r>
      <w:r>
        <w:rPr>
          <w:rFonts w:hint="eastAsia"/>
          <w:b/>
          <w:bCs/>
          <w:lang w:val="en-US"/>
        </w:rPr>
        <w:t>G</w:t>
      </w:r>
      <w:r>
        <w:rPr>
          <w:rFonts w:hint="eastAsia"/>
          <w:b/>
          <w:bCs/>
        </w:rPr>
        <w:t>Y</w:t>
      </w:r>
      <w:r>
        <w:rPr>
          <w:rFonts w:hint="eastAsia"/>
          <w:b/>
          <w:bCs/>
          <w:lang w:val="en-US"/>
        </w:rPr>
        <w:t>X</w:t>
      </w:r>
      <w:r>
        <w:rPr>
          <w:rFonts w:hint="eastAsia"/>
          <w:b/>
          <w:bCs/>
        </w:rPr>
        <w:t>20</w:t>
      </w:r>
      <w:r>
        <w:rPr>
          <w:rFonts w:hint="eastAsia"/>
          <w:b/>
          <w:bCs/>
          <w:lang w:val="en-US"/>
        </w:rPr>
        <w:t>200</w:t>
      </w:r>
      <w:r>
        <w:rPr>
          <w:rFonts w:hint="eastAsia"/>
          <w:b/>
          <w:bCs/>
          <w:lang w:val="en-US" w:eastAsia="zh-CN"/>
        </w:rPr>
        <w:t>528</w:t>
      </w:r>
      <w:r>
        <w:rPr>
          <w:rFonts w:hint="eastAsia"/>
          <w:b/>
          <w:bCs/>
          <w:lang w:val="en-US"/>
        </w:rPr>
        <w:t>号</w:t>
      </w:r>
    </w:p>
    <w:p>
      <w:pPr>
        <w:ind w:firstLine="560" w:firstLineChars="200"/>
        <w:rPr>
          <w:kern w:val="2"/>
          <w:sz w:val="28"/>
          <w:szCs w:val="28"/>
        </w:rPr>
      </w:pPr>
      <w:r>
        <w:rPr>
          <w:rFonts w:hint="eastAsia"/>
          <w:sz w:val="28"/>
          <w:szCs w:val="28"/>
        </w:rPr>
        <w:t>我院就窗帘制作安装与维修服务项目进行询价采购，具体清单及要求如下：</w:t>
      </w:r>
    </w:p>
    <w:p>
      <w:pPr>
        <w:rPr>
          <w:b/>
          <w:snapToGrid w:val="0"/>
          <w:spacing w:val="20"/>
          <w:lang w:val="en-US"/>
        </w:rPr>
      </w:pPr>
      <w:r>
        <w:rPr>
          <w:rFonts w:hint="eastAsia"/>
          <w:b/>
          <w:snapToGrid w:val="0"/>
          <w:spacing w:val="20"/>
          <w:lang w:val="en-US"/>
        </w:rPr>
        <w:t>一、清单及要求</w:t>
      </w:r>
    </w:p>
    <w:p>
      <w:pPr>
        <w:rPr>
          <w:b/>
          <w:snapToGrid w:val="0"/>
          <w:spacing w:val="20"/>
        </w:rPr>
      </w:pPr>
      <w:r>
        <w:rPr>
          <w:rFonts w:hint="eastAsia"/>
          <w:b/>
          <w:snapToGrid w:val="0"/>
          <w:spacing w:val="20"/>
          <w:lang w:val="en-US"/>
        </w:rPr>
        <w:t>1.1</w:t>
      </w:r>
      <w:r>
        <w:rPr>
          <w:rFonts w:hint="eastAsia"/>
          <w:b/>
          <w:snapToGrid w:val="0"/>
          <w:spacing w:val="20"/>
        </w:rPr>
        <w:t>、产品货物清单</w:t>
      </w:r>
    </w:p>
    <w:tbl>
      <w:tblPr>
        <w:tblStyle w:val="7"/>
        <w:tblW w:w="0" w:type="auto"/>
        <w:tblInd w:w="-748" w:type="dxa"/>
        <w:tblLayout w:type="fixed"/>
        <w:tblCellMar>
          <w:top w:w="15" w:type="dxa"/>
          <w:left w:w="15" w:type="dxa"/>
          <w:bottom w:w="15" w:type="dxa"/>
          <w:right w:w="15" w:type="dxa"/>
        </w:tblCellMar>
      </w:tblPr>
      <w:tblGrid>
        <w:gridCol w:w="823"/>
        <w:gridCol w:w="2063"/>
        <w:gridCol w:w="3200"/>
        <w:gridCol w:w="1184"/>
        <w:gridCol w:w="3311"/>
      </w:tblGrid>
      <w:tr>
        <w:tblPrEx>
          <w:tblCellMar>
            <w:top w:w="15" w:type="dxa"/>
            <w:left w:w="15" w:type="dxa"/>
            <w:bottom w:w="15" w:type="dxa"/>
            <w:right w:w="15" w:type="dxa"/>
          </w:tblCellMar>
        </w:tblPrEx>
        <w:trPr>
          <w:trHeight w:val="9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序号</w:t>
            </w:r>
          </w:p>
        </w:tc>
        <w:tc>
          <w:tcPr>
            <w:tcW w:w="20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窗帘名称</w:t>
            </w: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材料、材质</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单位</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综合单价最高限价（元）</w:t>
            </w:r>
          </w:p>
        </w:tc>
      </w:tr>
      <w:tr>
        <w:tblPrEx>
          <w:tblCellMar>
            <w:top w:w="15" w:type="dxa"/>
            <w:left w:w="15" w:type="dxa"/>
            <w:bottom w:w="15" w:type="dxa"/>
            <w:right w:w="15" w:type="dxa"/>
          </w:tblCellMar>
        </w:tblPrEx>
        <w:trPr>
          <w:trHeight w:val="405" w:hRule="atLeast"/>
        </w:trPr>
        <w:tc>
          <w:tcPr>
            <w:tcW w:w="8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w:t>
            </w:r>
          </w:p>
        </w:tc>
        <w:tc>
          <w:tcPr>
            <w:tcW w:w="206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630" w:firstLineChars="300"/>
              <w:textAlignment w:val="center"/>
              <w:rPr>
                <w:color w:val="000000"/>
                <w:sz w:val="21"/>
                <w:szCs w:val="21"/>
              </w:rPr>
            </w:pPr>
            <w:r>
              <w:rPr>
                <w:rFonts w:hint="eastAsia"/>
                <w:color w:val="000000"/>
                <w:sz w:val="21"/>
                <w:szCs w:val="21"/>
              </w:rPr>
              <w:t>遮光布</w:t>
            </w: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主体：涤纶、遮光布、阻燃</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平方米</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25</w:t>
            </w:r>
          </w:p>
        </w:tc>
      </w:tr>
      <w:tr>
        <w:tblPrEx>
          <w:tblCellMar>
            <w:top w:w="15" w:type="dxa"/>
            <w:left w:w="15" w:type="dxa"/>
            <w:bottom w:w="15" w:type="dxa"/>
            <w:right w:w="15" w:type="dxa"/>
          </w:tblCellMar>
        </w:tblPrEx>
        <w:trPr>
          <w:trHeight w:val="405"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罗马杆：铝合金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米</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22</w:t>
            </w:r>
          </w:p>
        </w:tc>
      </w:tr>
      <w:tr>
        <w:tblPrEx>
          <w:tblCellMar>
            <w:top w:w="15" w:type="dxa"/>
            <w:left w:w="15" w:type="dxa"/>
            <w:bottom w:w="15" w:type="dxa"/>
            <w:right w:w="15" w:type="dxa"/>
          </w:tblCellMar>
        </w:tblPrEx>
        <w:trPr>
          <w:trHeight w:val="405"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轨道：铝合金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米</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22</w:t>
            </w:r>
          </w:p>
        </w:tc>
      </w:tr>
      <w:tr>
        <w:tblPrEx>
          <w:tblCellMar>
            <w:top w:w="15" w:type="dxa"/>
            <w:left w:w="15" w:type="dxa"/>
            <w:bottom w:w="15" w:type="dxa"/>
            <w:right w:w="15" w:type="dxa"/>
          </w:tblCellMar>
        </w:tblPrEx>
        <w:trPr>
          <w:trHeight w:val="405"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S钩：烤漆</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个</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w:t>
            </w:r>
          </w:p>
        </w:tc>
      </w:tr>
      <w:tr>
        <w:tblPrEx>
          <w:tblCellMar>
            <w:top w:w="15" w:type="dxa"/>
            <w:left w:w="15" w:type="dxa"/>
            <w:bottom w:w="15" w:type="dxa"/>
            <w:right w:w="15" w:type="dxa"/>
          </w:tblCellMar>
        </w:tblPrEx>
        <w:trPr>
          <w:trHeight w:val="405"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罗马圈：纳米环</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个</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w:t>
            </w:r>
          </w:p>
        </w:tc>
      </w:tr>
      <w:tr>
        <w:tblPrEx>
          <w:tblCellMar>
            <w:top w:w="15" w:type="dxa"/>
            <w:left w:w="15" w:type="dxa"/>
            <w:bottom w:w="15" w:type="dxa"/>
            <w:right w:w="15" w:type="dxa"/>
          </w:tblCellMar>
        </w:tblPrEx>
        <w:trPr>
          <w:trHeight w:val="405" w:hRule="atLeast"/>
        </w:trPr>
        <w:tc>
          <w:tcPr>
            <w:tcW w:w="8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w:t>
            </w:r>
          </w:p>
        </w:tc>
        <w:tc>
          <w:tcPr>
            <w:tcW w:w="20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卷帘</w:t>
            </w: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主体：涤纶</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平方米</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30</w:t>
            </w:r>
          </w:p>
        </w:tc>
      </w:tr>
      <w:tr>
        <w:tblPrEx>
          <w:tblCellMar>
            <w:top w:w="15" w:type="dxa"/>
            <w:left w:w="15" w:type="dxa"/>
            <w:bottom w:w="15" w:type="dxa"/>
            <w:right w:w="15" w:type="dxa"/>
          </w:tblCellMar>
        </w:tblPrEx>
        <w:trPr>
          <w:trHeight w:val="405"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卷管：铝合金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米</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12</w:t>
            </w:r>
          </w:p>
        </w:tc>
      </w:tr>
      <w:tr>
        <w:tblPrEx>
          <w:tblCellMar>
            <w:top w:w="15" w:type="dxa"/>
            <w:left w:w="15" w:type="dxa"/>
            <w:bottom w:w="15" w:type="dxa"/>
            <w:right w:w="15" w:type="dxa"/>
          </w:tblCellMar>
        </w:tblPrEx>
        <w:trPr>
          <w:trHeight w:val="405"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拉珠：POM</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个</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15</w:t>
            </w:r>
          </w:p>
        </w:tc>
      </w:tr>
      <w:tr>
        <w:tblPrEx>
          <w:tblCellMar>
            <w:top w:w="15" w:type="dxa"/>
            <w:left w:w="15" w:type="dxa"/>
            <w:bottom w:w="15" w:type="dxa"/>
            <w:right w:w="15" w:type="dxa"/>
          </w:tblCellMar>
        </w:tblPrEx>
        <w:trPr>
          <w:trHeight w:val="405" w:hRule="atLeast"/>
        </w:trPr>
        <w:tc>
          <w:tcPr>
            <w:tcW w:w="8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3</w:t>
            </w:r>
          </w:p>
        </w:tc>
        <w:tc>
          <w:tcPr>
            <w:tcW w:w="20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百叶窗</w:t>
            </w: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主体：铝合金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平方米</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35</w:t>
            </w:r>
          </w:p>
        </w:tc>
      </w:tr>
      <w:tr>
        <w:tblPrEx>
          <w:tblCellMar>
            <w:top w:w="15" w:type="dxa"/>
            <w:left w:w="15" w:type="dxa"/>
            <w:bottom w:w="15" w:type="dxa"/>
            <w:right w:w="15" w:type="dxa"/>
          </w:tblCellMar>
        </w:tblPrEx>
        <w:trPr>
          <w:trHeight w:val="405"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上下梁：铝合金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米</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10</w:t>
            </w:r>
          </w:p>
        </w:tc>
      </w:tr>
      <w:tr>
        <w:tblPrEx>
          <w:tblCellMar>
            <w:top w:w="15" w:type="dxa"/>
            <w:left w:w="15" w:type="dxa"/>
            <w:bottom w:w="15" w:type="dxa"/>
            <w:right w:w="15" w:type="dxa"/>
          </w:tblCellMar>
        </w:tblPrEx>
        <w:trPr>
          <w:trHeight w:val="414"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拉珠：POM</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个</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15</w:t>
            </w:r>
          </w:p>
        </w:tc>
      </w:tr>
      <w:tr>
        <w:tblPrEx>
          <w:tblCellMar>
            <w:top w:w="15" w:type="dxa"/>
            <w:left w:w="15" w:type="dxa"/>
            <w:bottom w:w="15" w:type="dxa"/>
            <w:right w:w="15" w:type="dxa"/>
          </w:tblCellMar>
        </w:tblPrEx>
        <w:trPr>
          <w:trHeight w:val="1500" w:hRule="atLeast"/>
        </w:trPr>
        <w:tc>
          <w:tcPr>
            <w:tcW w:w="10581" w:type="dxa"/>
            <w:gridSpan w:val="5"/>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备注:1）、窗帘褶皱1：1.8（±5%）。</w:t>
            </w:r>
          </w:p>
          <w:p>
            <w:pPr>
              <w:widowControl/>
              <w:numPr>
                <w:ilvl w:val="0"/>
                <w:numId w:val="1"/>
              </w:numPr>
              <w:textAlignment w:val="center"/>
              <w:rPr>
                <w:color w:val="000000"/>
                <w:sz w:val="21"/>
                <w:szCs w:val="21"/>
              </w:rPr>
            </w:pPr>
            <w:r>
              <w:rPr>
                <w:rFonts w:hint="eastAsia"/>
                <w:color w:val="000000"/>
                <w:sz w:val="21"/>
                <w:szCs w:val="21"/>
              </w:rPr>
              <w:t>、最终结算计算方法：窗帘按照实际展开面积计算，罗马杆按照实际长度计算。</w:t>
            </w:r>
          </w:p>
          <w:p>
            <w:pPr>
              <w:widowControl/>
              <w:numPr>
                <w:ilvl w:val="0"/>
                <w:numId w:val="1"/>
              </w:numPr>
              <w:textAlignment w:val="center"/>
              <w:rPr>
                <w:color w:val="000000"/>
                <w:sz w:val="21"/>
                <w:szCs w:val="21"/>
              </w:rPr>
            </w:pPr>
            <w:r>
              <w:rPr>
                <w:rFonts w:hint="eastAsia"/>
                <w:color w:val="000000"/>
                <w:sz w:val="21"/>
                <w:szCs w:val="21"/>
              </w:rPr>
              <w:t>、投标单价包括货物总价、集成、运费、制作、安装费、耗材及税金等全部费用。</w:t>
            </w:r>
          </w:p>
          <w:p>
            <w:pPr>
              <w:widowControl/>
              <w:numPr>
                <w:ilvl w:val="0"/>
                <w:numId w:val="1"/>
              </w:numPr>
              <w:textAlignment w:val="center"/>
              <w:rPr>
                <w:color w:val="000000"/>
                <w:sz w:val="21"/>
                <w:szCs w:val="21"/>
              </w:rPr>
            </w:pPr>
            <w:r>
              <w:rPr>
                <w:rFonts w:hint="eastAsia"/>
                <w:color w:val="000000"/>
                <w:sz w:val="21"/>
                <w:szCs w:val="21"/>
              </w:rPr>
              <w:t>、投标单位所报单价不得超过综合单价最高限价，否则为无效报价，投标无效。</w:t>
            </w:r>
          </w:p>
        </w:tc>
      </w:tr>
    </w:tbl>
    <w:p>
      <w:pPr>
        <w:widowControl/>
        <w:shd w:val="clear" w:color="auto" w:fill="FFFFFF"/>
        <w:spacing w:line="360" w:lineRule="auto"/>
        <w:rPr>
          <w:sz w:val="24"/>
          <w:szCs w:val="24"/>
        </w:rPr>
      </w:pPr>
      <w:r>
        <w:rPr>
          <w:rFonts w:hint="eastAsia"/>
          <w:color w:val="212121"/>
          <w:sz w:val="24"/>
          <w:szCs w:val="24"/>
          <w:lang w:val="en-US"/>
        </w:rPr>
        <w:t>1.2、服务期限为三年，合同一年一签，</w:t>
      </w:r>
      <w:r>
        <w:rPr>
          <w:rFonts w:hint="eastAsia"/>
          <w:sz w:val="24"/>
          <w:szCs w:val="24"/>
        </w:rPr>
        <w:t>合同期满经甲方考核合格之后可以续签下一年合同。</w:t>
      </w:r>
    </w:p>
    <w:p>
      <w:pPr>
        <w:widowControl/>
        <w:shd w:val="clear" w:color="auto" w:fill="FFFFFF"/>
        <w:spacing w:line="360" w:lineRule="auto"/>
        <w:rPr>
          <w:sz w:val="24"/>
          <w:szCs w:val="24"/>
          <w:lang w:val="en-US"/>
        </w:rPr>
      </w:pPr>
      <w:r>
        <w:rPr>
          <w:rFonts w:hint="eastAsia"/>
          <w:sz w:val="24"/>
          <w:szCs w:val="24"/>
          <w:lang w:val="en-US"/>
        </w:rPr>
        <w:t>1.3、承包方式：包工包料，固定单价，按实结算。</w:t>
      </w:r>
    </w:p>
    <w:p>
      <w:pPr>
        <w:widowControl/>
        <w:shd w:val="clear" w:color="auto" w:fill="FFFFFF"/>
        <w:spacing w:line="360" w:lineRule="auto"/>
        <w:rPr>
          <w:sz w:val="24"/>
          <w:szCs w:val="24"/>
          <w:lang w:val="en-US"/>
        </w:rPr>
      </w:pPr>
      <w:r>
        <w:rPr>
          <w:rFonts w:hint="eastAsia"/>
          <w:sz w:val="24"/>
          <w:szCs w:val="24"/>
          <w:lang w:val="en-US"/>
        </w:rPr>
        <w:t>1.4、</w:t>
      </w:r>
      <w:r>
        <w:rPr>
          <w:rFonts w:hint="eastAsia"/>
          <w:b/>
          <w:bCs/>
          <w:sz w:val="24"/>
          <w:szCs w:val="24"/>
          <w:lang w:val="en-US"/>
        </w:rPr>
        <w:t>付款方式：完工工程经验收合格、结算审计完成后每半年支付一次，每次支付审定价的100%。</w:t>
      </w:r>
    </w:p>
    <w:p>
      <w:pPr>
        <w:ind w:firstLine="440" w:firstLineChars="200"/>
        <w:rPr>
          <w:lang w:val="en-US"/>
        </w:rPr>
      </w:pPr>
      <w:r>
        <w:rPr>
          <w:rFonts w:hint="eastAsia"/>
          <w:lang w:val="en-US"/>
        </w:rPr>
        <w:t>项目支付审计费按照以下方式执行：</w:t>
      </w:r>
    </w:p>
    <w:p>
      <w:r>
        <w:rPr>
          <w:rFonts w:hint="eastAsia"/>
        </w:rPr>
        <w:t>附件二：《江苏省属高校建设工程项目审计实施办法》</w:t>
      </w:r>
    </w:p>
    <w:p>
      <w:r>
        <w:rPr>
          <w:rFonts w:hint="eastAsia"/>
          <w:b/>
        </w:rPr>
        <w:t>第十七条</w:t>
      </w:r>
      <w:r>
        <w:rPr>
          <w:rFonts w:hint="eastAsia"/>
        </w:rPr>
        <w:t>：高校建设项目结算审计</w:t>
      </w:r>
      <w:r>
        <w:t>，</w:t>
      </w:r>
      <w:r>
        <w:rPr>
          <w:rFonts w:hint="eastAsia"/>
        </w:rPr>
        <w:t>应</w:t>
      </w:r>
      <w:r>
        <w:t>按下列规定支付审计费用：</w:t>
      </w:r>
    </w:p>
    <w:p>
      <w:r>
        <w:rPr>
          <w:rFonts w:hint="eastAsia"/>
        </w:rPr>
        <w:t>（一）</w:t>
      </w:r>
      <w:r>
        <w:t>单项工程核减率</w:t>
      </w:r>
      <w:r>
        <w:rPr>
          <w:rFonts w:hint="eastAsia"/>
        </w:rPr>
        <w:t>超过</w:t>
      </w:r>
      <w:r>
        <w:t>1</w:t>
      </w:r>
      <w:r>
        <w:rPr>
          <w:rFonts w:hint="eastAsia"/>
        </w:rPr>
        <w:t>0</w:t>
      </w:r>
      <w:r>
        <w:t>%的，其审计费用</w:t>
      </w:r>
      <w:r>
        <w:rPr>
          <w:rFonts w:hint="eastAsia"/>
        </w:rPr>
        <w:t>全部</w:t>
      </w:r>
      <w:r>
        <w:t>由施工单位承担，并由建设单位从施工单位工程款中</w:t>
      </w:r>
      <w:r>
        <w:rPr>
          <w:rFonts w:hint="eastAsia"/>
        </w:rPr>
        <w:t>扣除（下同）</w:t>
      </w:r>
      <w:r>
        <w:t>。</w:t>
      </w:r>
    </w:p>
    <w:p>
      <w:r>
        <w:rPr>
          <w:rFonts w:hint="eastAsia"/>
        </w:rPr>
        <w:t>（二）</w:t>
      </w:r>
      <w:r>
        <w:t>单项工程核减率</w:t>
      </w:r>
      <w:r>
        <w:rPr>
          <w:rFonts w:hint="eastAsia"/>
        </w:rPr>
        <w:t>在8</w:t>
      </w:r>
      <w:r>
        <w:t>%-1</w:t>
      </w:r>
      <w:r>
        <w:rPr>
          <w:rFonts w:hint="eastAsia"/>
        </w:rPr>
        <w:t>0</w:t>
      </w:r>
      <w:r>
        <w:t>%</w:t>
      </w:r>
      <w:r>
        <w:rPr>
          <w:rFonts w:hint="eastAsia"/>
        </w:rPr>
        <w:t>（含10%）之间</w:t>
      </w:r>
      <w:r>
        <w:t>的，其审计费用由建设单位承担20%</w:t>
      </w:r>
      <w:r>
        <w:rPr>
          <w:rFonts w:hint="eastAsia"/>
        </w:rPr>
        <w:t>，</w:t>
      </w:r>
      <w:r>
        <w:t>施工单位承担80%。</w:t>
      </w:r>
    </w:p>
    <w:p>
      <w:r>
        <w:t>（</w:t>
      </w:r>
      <w:r>
        <w:rPr>
          <w:rFonts w:hint="eastAsia"/>
        </w:rPr>
        <w:t>三</w:t>
      </w:r>
      <w:r>
        <w:t>）单项工程核减率</w:t>
      </w:r>
      <w:r>
        <w:rPr>
          <w:rFonts w:hint="eastAsia"/>
        </w:rPr>
        <w:t>在</w:t>
      </w:r>
      <w:r>
        <w:t>5%</w:t>
      </w:r>
      <w:r>
        <w:rPr>
          <w:rFonts w:hint="eastAsia"/>
        </w:rPr>
        <w:t>-8%</w:t>
      </w:r>
      <w:r>
        <w:t>以上（含</w:t>
      </w:r>
      <w:r>
        <w:rPr>
          <w:rFonts w:hint="eastAsia"/>
        </w:rPr>
        <w:t>8</w:t>
      </w:r>
      <w:r>
        <w:t>%）</w:t>
      </w:r>
      <w:r>
        <w:rPr>
          <w:rFonts w:hint="eastAsia"/>
        </w:rPr>
        <w:t>之间</w:t>
      </w:r>
      <w:r>
        <w:t>的，其审计费用由施工单位承担20%，建设单位承担80%。</w:t>
      </w:r>
    </w:p>
    <w:p>
      <w:r>
        <w:t>（</w:t>
      </w:r>
      <w:r>
        <w:rPr>
          <w:rFonts w:hint="eastAsia"/>
        </w:rPr>
        <w:t>四</w:t>
      </w:r>
      <w:r>
        <w:t>）单项工程核减率</w:t>
      </w:r>
      <w:r>
        <w:rPr>
          <w:rFonts w:hint="eastAsia"/>
        </w:rPr>
        <w:t>在</w:t>
      </w:r>
      <w:r>
        <w:t>5%</w:t>
      </w:r>
      <w:r>
        <w:rPr>
          <w:rFonts w:hint="eastAsia"/>
        </w:rPr>
        <w:t>及其</w:t>
      </w:r>
      <w:r>
        <w:t>以下的，其审计费用由建设单位承担。</w:t>
      </w:r>
    </w:p>
    <w:p>
      <w:pPr>
        <w:ind w:firstLine="440" w:firstLineChars="200"/>
      </w:pPr>
      <w:r>
        <w:rPr>
          <w:rFonts w:hint="eastAsia"/>
        </w:rPr>
        <w:t>核减率按审计最终核定额与施工单位申报的决算额之间的差额计算。审计费用计算以及支付条款应列入高校与施工单位签订的有关合同中。</w:t>
      </w:r>
    </w:p>
    <w:p>
      <w:pPr>
        <w:ind w:firstLine="440" w:firstLineChars="200"/>
      </w:pPr>
      <w:r>
        <w:rPr>
          <w:rFonts w:hint="eastAsia"/>
        </w:rPr>
        <w:t>审计费按工程核减额的3%提取。</w:t>
      </w:r>
    </w:p>
    <w:p>
      <w:pPr>
        <w:ind w:firstLine="440" w:firstLineChars="200"/>
      </w:pPr>
    </w:p>
    <w:p>
      <w:pPr>
        <w:ind w:left="330"/>
        <w:rPr>
          <w:b/>
          <w:snapToGrid w:val="0"/>
          <w:spacing w:val="20"/>
          <w:sz w:val="24"/>
          <w:szCs w:val="24"/>
        </w:rPr>
      </w:pPr>
      <w:r>
        <w:rPr>
          <w:rFonts w:hint="eastAsia"/>
          <w:b/>
          <w:snapToGrid w:val="0"/>
          <w:spacing w:val="20"/>
          <w:sz w:val="24"/>
          <w:szCs w:val="24"/>
        </w:rPr>
        <w:t>二、面料技术参数要求</w:t>
      </w:r>
    </w:p>
    <w:p>
      <w:pPr>
        <w:spacing w:line="360" w:lineRule="exact"/>
        <w:ind w:firstLine="221" w:firstLineChars="100"/>
      </w:pPr>
      <w:r>
        <w:rPr>
          <w:rFonts w:hint="eastAsia"/>
          <w:b/>
          <w:bCs/>
        </w:rPr>
        <w:t>2.1、遮光布帘面料参数:</w:t>
      </w:r>
      <w:r>
        <w:rPr>
          <w:rFonts w:hint="eastAsia"/>
        </w:rPr>
        <w:t>(检测报告中指标需有：克重、耐水色牢度、耐皂洗色牢度、耐摩擦色牢度、纤维含量、水洗尺寸变化率）该检测报告面料必须为同一块面料</w:t>
      </w:r>
    </w:p>
    <w:tbl>
      <w:tblPr>
        <w:tblStyle w:val="7"/>
        <w:tblW w:w="0" w:type="auto"/>
        <w:tblInd w:w="0" w:type="dxa"/>
        <w:tblLayout w:type="fixed"/>
        <w:tblCellMar>
          <w:top w:w="0" w:type="dxa"/>
          <w:left w:w="108" w:type="dxa"/>
          <w:bottom w:w="0" w:type="dxa"/>
          <w:right w:w="108" w:type="dxa"/>
        </w:tblCellMar>
      </w:tblPr>
      <w:tblGrid>
        <w:gridCol w:w="3652"/>
        <w:gridCol w:w="4787"/>
      </w:tblGrid>
      <w:tr>
        <w:tblPrEx>
          <w:tblCellMar>
            <w:top w:w="0" w:type="dxa"/>
            <w:left w:w="108" w:type="dxa"/>
            <w:bottom w:w="0" w:type="dxa"/>
            <w:right w:w="108" w:type="dxa"/>
          </w:tblCellMar>
        </w:tblPrEx>
        <w:trPr>
          <w:trHeight w:val="454" w:hRule="atLeast"/>
        </w:trPr>
        <w:tc>
          <w:tcPr>
            <w:tcW w:w="3652"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rPr>
              <w:t>帘布克重：≥280克/㎡</w:t>
            </w:r>
          </w:p>
        </w:tc>
        <w:tc>
          <w:tcPr>
            <w:tcW w:w="4787" w:type="dxa"/>
            <w:tcBorders>
              <w:top w:val="single" w:color="auto" w:sz="4" w:space="0"/>
              <w:left w:val="nil"/>
              <w:bottom w:val="single" w:color="auto" w:sz="4" w:space="0"/>
              <w:right w:val="single" w:color="auto" w:sz="4" w:space="0"/>
            </w:tcBorders>
            <w:vAlign w:val="center"/>
          </w:tcPr>
          <w:p>
            <w:pPr>
              <w:spacing w:line="300" w:lineRule="exact"/>
            </w:pPr>
            <w:r>
              <w:t>耐摩擦色牢度</w:t>
            </w:r>
            <w:r>
              <w:rPr>
                <w:rFonts w:hint="eastAsia"/>
              </w:rPr>
              <w:t xml:space="preserve">   ≥ 4级</w:t>
            </w:r>
          </w:p>
        </w:tc>
      </w:tr>
      <w:tr>
        <w:tblPrEx>
          <w:tblCellMar>
            <w:top w:w="0" w:type="dxa"/>
            <w:left w:w="108" w:type="dxa"/>
            <w:bottom w:w="0" w:type="dxa"/>
            <w:right w:w="108" w:type="dxa"/>
          </w:tblCellMar>
        </w:tblPrEx>
        <w:trPr>
          <w:trHeight w:val="454" w:hRule="atLeast"/>
        </w:trPr>
        <w:tc>
          <w:tcPr>
            <w:tcW w:w="3652"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rPr>
              <w:t>耐水色牢度   ≥ 4级</w:t>
            </w:r>
          </w:p>
        </w:tc>
        <w:tc>
          <w:tcPr>
            <w:tcW w:w="4787" w:type="dxa"/>
            <w:tcBorders>
              <w:top w:val="single" w:color="auto" w:sz="4" w:space="0"/>
              <w:left w:val="nil"/>
              <w:bottom w:val="single" w:color="auto" w:sz="4" w:space="0"/>
              <w:right w:val="single" w:color="auto" w:sz="4" w:space="0"/>
            </w:tcBorders>
            <w:vAlign w:val="center"/>
          </w:tcPr>
          <w:p>
            <w:pPr>
              <w:spacing w:line="300" w:lineRule="exact"/>
            </w:pPr>
            <w:r>
              <w:t>纤维</w:t>
            </w:r>
          </w:p>
          <w:p>
            <w:pPr>
              <w:spacing w:line="300" w:lineRule="exact"/>
            </w:pPr>
            <w:r>
              <w:t>含量</w:t>
            </w:r>
            <w:r>
              <w:rPr>
                <w:rFonts w:hint="eastAsia"/>
              </w:rPr>
              <w:t xml:space="preserve"> </w:t>
            </w:r>
            <w:r>
              <w:t>:</w:t>
            </w:r>
            <w:r>
              <w:rPr>
                <w:rFonts w:hint="eastAsia"/>
              </w:rPr>
              <w:t xml:space="preserve">  </w:t>
            </w:r>
            <w:r>
              <w:t>100%</w:t>
            </w:r>
            <w:r>
              <w:rPr>
                <w:rFonts w:hint="eastAsia"/>
              </w:rPr>
              <w:t xml:space="preserve">聚酯纤维      </w:t>
            </w:r>
          </w:p>
        </w:tc>
      </w:tr>
      <w:tr>
        <w:tblPrEx>
          <w:tblCellMar>
            <w:top w:w="0" w:type="dxa"/>
            <w:left w:w="108" w:type="dxa"/>
            <w:bottom w:w="0" w:type="dxa"/>
            <w:right w:w="108" w:type="dxa"/>
          </w:tblCellMar>
        </w:tblPrEx>
        <w:trPr>
          <w:trHeight w:val="454" w:hRule="atLeast"/>
        </w:trPr>
        <w:tc>
          <w:tcPr>
            <w:tcW w:w="3652" w:type="dxa"/>
            <w:tcBorders>
              <w:top w:val="single" w:color="auto" w:sz="4" w:space="0"/>
              <w:left w:val="single" w:color="auto" w:sz="4" w:space="0"/>
              <w:bottom w:val="single" w:color="auto" w:sz="4" w:space="0"/>
              <w:right w:val="single" w:color="auto" w:sz="4" w:space="0"/>
            </w:tcBorders>
            <w:vAlign w:val="center"/>
          </w:tcPr>
          <w:p>
            <w:pPr>
              <w:spacing w:line="300" w:lineRule="exact"/>
            </w:pPr>
            <w:r>
              <w:t>耐皂洗色牢度</w:t>
            </w:r>
            <w:r>
              <w:rPr>
                <w:rFonts w:hint="eastAsia"/>
              </w:rPr>
              <w:t xml:space="preserve"> ≥ 4级</w:t>
            </w:r>
          </w:p>
        </w:tc>
        <w:tc>
          <w:tcPr>
            <w:tcW w:w="4787" w:type="dxa"/>
            <w:tcBorders>
              <w:top w:val="single" w:color="auto" w:sz="4" w:space="0"/>
              <w:left w:val="nil"/>
              <w:bottom w:val="single" w:color="auto" w:sz="4" w:space="0"/>
              <w:right w:val="single" w:color="auto" w:sz="4" w:space="0"/>
            </w:tcBorders>
            <w:vAlign w:val="center"/>
          </w:tcPr>
          <w:p>
            <w:pPr>
              <w:spacing w:line="300" w:lineRule="exact"/>
            </w:pPr>
            <w:r>
              <w:rPr>
                <w:rFonts w:hint="eastAsia"/>
              </w:rPr>
              <w:t>水洗尺寸变化率≤1%</w:t>
            </w:r>
          </w:p>
        </w:tc>
      </w:tr>
    </w:tbl>
    <w:p>
      <w:pPr>
        <w:spacing w:line="360" w:lineRule="exact"/>
        <w:ind w:firstLine="221" w:firstLineChars="100"/>
      </w:pPr>
      <w:r>
        <w:rPr>
          <w:rFonts w:hint="eastAsia"/>
          <w:b/>
          <w:bCs/>
        </w:rPr>
        <w:t>2.2、</w:t>
      </w:r>
      <w:r>
        <w:rPr>
          <w:b/>
          <w:bCs/>
        </w:rPr>
        <w:t>卷帘</w:t>
      </w:r>
      <w:r>
        <w:rPr>
          <w:rFonts w:hint="eastAsia"/>
          <w:b/>
          <w:bCs/>
        </w:rPr>
        <w:t>参数：</w:t>
      </w:r>
      <w:r>
        <w:rPr>
          <w:rFonts w:hint="eastAsia"/>
        </w:rPr>
        <w:t>（检测报告中指标需有：断裂强度、B1级阻燃、干燥面积克重）该检测报告面料必须为同一块面料</w:t>
      </w:r>
    </w:p>
    <w:tbl>
      <w:tblPr>
        <w:tblStyle w:val="7"/>
        <w:tblW w:w="0" w:type="auto"/>
        <w:tblInd w:w="0" w:type="dxa"/>
        <w:tblLayout w:type="fixed"/>
        <w:tblCellMar>
          <w:top w:w="0" w:type="dxa"/>
          <w:left w:w="108" w:type="dxa"/>
          <w:bottom w:w="0" w:type="dxa"/>
          <w:right w:w="108" w:type="dxa"/>
        </w:tblCellMar>
      </w:tblPr>
      <w:tblGrid>
        <w:gridCol w:w="1555"/>
        <w:gridCol w:w="3543"/>
        <w:gridCol w:w="3356"/>
      </w:tblGrid>
      <w:tr>
        <w:tblPrEx>
          <w:tblCellMar>
            <w:top w:w="0" w:type="dxa"/>
            <w:left w:w="108" w:type="dxa"/>
            <w:bottom w:w="0" w:type="dxa"/>
            <w:right w:w="108" w:type="dxa"/>
          </w:tblCellMar>
        </w:tblPrEx>
        <w:trPr>
          <w:trHeight w:val="699" w:hRule="atLeast"/>
        </w:trPr>
        <w:tc>
          <w:tcPr>
            <w:tcW w:w="8454" w:type="dxa"/>
            <w:gridSpan w:val="3"/>
            <w:tcBorders>
              <w:top w:val="single" w:color="auto" w:sz="4" w:space="0"/>
              <w:left w:val="single" w:color="auto" w:sz="4" w:space="0"/>
              <w:right w:val="single" w:color="auto" w:sz="4" w:space="0"/>
            </w:tcBorders>
            <w:vAlign w:val="center"/>
          </w:tcPr>
          <w:p>
            <w:pPr>
              <w:spacing w:line="300" w:lineRule="exact"/>
            </w:pPr>
            <w:r>
              <w:rPr>
                <w:rFonts w:hint="eastAsia"/>
              </w:rPr>
              <w:t>游离甲醛含量:&lt;30.p.p.m</w:t>
            </w:r>
          </w:p>
        </w:tc>
      </w:tr>
      <w:tr>
        <w:tblPrEx>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right w:val="single" w:color="auto" w:sz="4" w:space="0"/>
            </w:tcBorders>
            <w:vAlign w:val="center"/>
          </w:tcPr>
          <w:p>
            <w:pPr>
              <w:spacing w:line="300" w:lineRule="exact"/>
            </w:pPr>
            <w:r>
              <w:rPr>
                <w:rFonts w:hint="eastAsia"/>
              </w:rPr>
              <w:t>单位面积克重</w:t>
            </w:r>
          </w:p>
        </w:tc>
        <w:tc>
          <w:tcPr>
            <w:tcW w:w="3543" w:type="dxa"/>
            <w:tcBorders>
              <w:top w:val="single" w:color="auto" w:sz="4" w:space="0"/>
              <w:left w:val="single" w:color="auto" w:sz="4" w:space="0"/>
              <w:right w:val="single" w:color="auto" w:sz="4" w:space="0"/>
            </w:tcBorders>
            <w:vAlign w:val="center"/>
          </w:tcPr>
          <w:p>
            <w:pPr>
              <w:spacing w:line="300" w:lineRule="exact"/>
            </w:pPr>
            <w:r>
              <w:rPr>
                <w:rFonts w:hint="eastAsia"/>
              </w:rPr>
              <w:t>≧</w:t>
            </w:r>
            <w:r>
              <w:t>3</w:t>
            </w:r>
            <w:r>
              <w:rPr>
                <w:rFonts w:hint="eastAsia"/>
              </w:rPr>
              <w:t>00 g/㎡</w:t>
            </w:r>
          </w:p>
        </w:tc>
        <w:tc>
          <w:tcPr>
            <w:tcW w:w="3356" w:type="dxa"/>
            <w:tcBorders>
              <w:top w:val="single" w:color="auto" w:sz="4" w:space="0"/>
              <w:left w:val="nil"/>
              <w:right w:val="single" w:color="auto" w:sz="4" w:space="0"/>
            </w:tcBorders>
            <w:vAlign w:val="center"/>
          </w:tcPr>
          <w:p>
            <w:pPr>
              <w:spacing w:line="300" w:lineRule="exact"/>
            </w:pPr>
            <w:r>
              <w:rPr>
                <w:rFonts w:hint="eastAsia"/>
              </w:rPr>
              <w:t>耐光色牢度≥4-5级</w:t>
            </w:r>
          </w:p>
        </w:tc>
      </w:tr>
      <w:tr>
        <w:tblPrEx>
          <w:tblCellMar>
            <w:top w:w="0" w:type="dxa"/>
            <w:left w:w="108" w:type="dxa"/>
            <w:bottom w:w="0" w:type="dxa"/>
            <w:right w:w="108" w:type="dxa"/>
          </w:tblCellMar>
        </w:tblPrEx>
        <w:trPr>
          <w:trHeight w:val="284" w:hRule="atLeast"/>
        </w:trPr>
        <w:tc>
          <w:tcPr>
            <w:tcW w:w="1555" w:type="dxa"/>
            <w:vMerge w:val="restart"/>
            <w:tcBorders>
              <w:top w:val="single" w:color="auto" w:sz="4" w:space="0"/>
              <w:left w:val="single" w:color="auto" w:sz="4" w:space="0"/>
              <w:right w:val="single" w:color="auto" w:sz="4" w:space="0"/>
            </w:tcBorders>
            <w:vAlign w:val="center"/>
          </w:tcPr>
          <w:p>
            <w:pPr>
              <w:spacing w:line="300" w:lineRule="exact"/>
            </w:pPr>
            <w:r>
              <w:t>断裂强度</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00" w:lineRule="exact"/>
            </w:pPr>
            <w:r>
              <w:t>经向</w:t>
            </w:r>
            <w:r>
              <w:rPr>
                <w:rFonts w:hint="eastAsia"/>
              </w:rPr>
              <w:t>≥2300 N</w:t>
            </w:r>
          </w:p>
        </w:tc>
        <w:tc>
          <w:tcPr>
            <w:tcW w:w="3356" w:type="dxa"/>
            <w:vMerge w:val="restart"/>
            <w:tcBorders>
              <w:top w:val="single" w:color="auto" w:sz="4" w:space="0"/>
              <w:left w:val="nil"/>
              <w:right w:val="single" w:color="auto" w:sz="4" w:space="0"/>
            </w:tcBorders>
            <w:vAlign w:val="center"/>
          </w:tcPr>
          <w:p>
            <w:pPr>
              <w:spacing w:line="300" w:lineRule="exact"/>
            </w:pPr>
            <w:r>
              <w:rPr>
                <w:rFonts w:hint="eastAsia"/>
              </w:rPr>
              <w:t>纬斜≤3%</w:t>
            </w:r>
          </w:p>
        </w:tc>
      </w:tr>
      <w:tr>
        <w:tblPrEx>
          <w:tblCellMar>
            <w:top w:w="0" w:type="dxa"/>
            <w:left w:w="108" w:type="dxa"/>
            <w:bottom w:w="0" w:type="dxa"/>
            <w:right w:w="108" w:type="dxa"/>
          </w:tblCellMar>
        </w:tblPrEx>
        <w:trPr>
          <w:trHeight w:val="284" w:hRule="atLeast"/>
        </w:trPr>
        <w:tc>
          <w:tcPr>
            <w:tcW w:w="1555" w:type="dxa"/>
            <w:vMerge w:val="continue"/>
            <w:tcBorders>
              <w:left w:val="single" w:color="auto" w:sz="4" w:space="0"/>
              <w:bottom w:val="single" w:color="auto" w:sz="4" w:space="0"/>
              <w:right w:val="single" w:color="auto" w:sz="4" w:space="0"/>
            </w:tcBorders>
            <w:vAlign w:val="center"/>
          </w:tcPr>
          <w:p>
            <w:pPr>
              <w:spacing w:line="300" w:lineRule="exact"/>
            </w:pPr>
          </w:p>
        </w:tc>
        <w:tc>
          <w:tcPr>
            <w:tcW w:w="3543" w:type="dxa"/>
            <w:tcBorders>
              <w:top w:val="single" w:color="auto" w:sz="4" w:space="0"/>
              <w:left w:val="single" w:color="auto" w:sz="4" w:space="0"/>
              <w:bottom w:val="single" w:color="auto" w:sz="4" w:space="0"/>
              <w:right w:val="single" w:color="auto" w:sz="4" w:space="0"/>
            </w:tcBorders>
            <w:vAlign w:val="center"/>
          </w:tcPr>
          <w:p>
            <w:pPr>
              <w:spacing w:line="300" w:lineRule="exact"/>
            </w:pPr>
            <w:r>
              <w:t>纬向</w:t>
            </w:r>
            <w:r>
              <w:rPr>
                <w:rFonts w:hint="eastAsia"/>
              </w:rPr>
              <w:t>≥2300</w:t>
            </w:r>
            <w:r>
              <w:t xml:space="preserve"> N</w:t>
            </w:r>
          </w:p>
        </w:tc>
        <w:tc>
          <w:tcPr>
            <w:tcW w:w="3356" w:type="dxa"/>
            <w:vMerge w:val="continue"/>
            <w:tcBorders>
              <w:left w:val="nil"/>
              <w:bottom w:val="single" w:color="auto" w:sz="4" w:space="0"/>
              <w:right w:val="single" w:color="auto" w:sz="4" w:space="0"/>
            </w:tcBorders>
            <w:vAlign w:val="center"/>
          </w:tcPr>
          <w:p>
            <w:pPr>
              <w:spacing w:line="300" w:lineRule="exact"/>
            </w:pPr>
          </w:p>
        </w:tc>
      </w:tr>
      <w:tr>
        <w:tblPrEx>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rPr>
              <w:t>阻燃：</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rPr>
              <w:t>B1级阻燃</w:t>
            </w:r>
          </w:p>
        </w:tc>
        <w:tc>
          <w:tcPr>
            <w:tcW w:w="3356" w:type="dxa"/>
            <w:tcBorders>
              <w:top w:val="single" w:color="auto" w:sz="4" w:space="0"/>
              <w:left w:val="nil"/>
              <w:bottom w:val="single" w:color="auto" w:sz="4" w:space="0"/>
              <w:right w:val="single" w:color="auto" w:sz="4" w:space="0"/>
            </w:tcBorders>
            <w:vAlign w:val="center"/>
          </w:tcPr>
          <w:p>
            <w:pPr>
              <w:spacing w:line="300" w:lineRule="exact"/>
            </w:pPr>
          </w:p>
        </w:tc>
      </w:tr>
    </w:tbl>
    <w:p>
      <w:pPr>
        <w:spacing w:line="360" w:lineRule="exact"/>
      </w:pPr>
      <w:r>
        <w:rPr>
          <w:rFonts w:hint="eastAsia"/>
          <w:b/>
          <w:bCs/>
        </w:rPr>
        <w:t xml:space="preserve">   2.3、</w:t>
      </w:r>
      <w:r>
        <w:rPr>
          <w:rFonts w:hint="eastAsia"/>
          <w:b/>
        </w:rPr>
        <w:t>管材部分</w:t>
      </w:r>
      <w:r>
        <w:rPr>
          <w:rFonts w:hint="eastAsia"/>
          <w:b/>
          <w:bCs/>
        </w:rPr>
        <w:t>：</w:t>
      </w:r>
      <w:r>
        <w:rPr>
          <w:rFonts w:hint="eastAsia"/>
          <w:bCs/>
        </w:rPr>
        <w:t>高强度铝合金材质</w:t>
      </w:r>
      <w:r>
        <w:rPr>
          <w:rFonts w:hint="eastAsia"/>
        </w:rPr>
        <w:t>，直径38㎜，管材壁厚≥1mm，表面烤漆处理；管材径向弯曲≤1㎜/M；管材外表面带插槽，帘布经接插条后，直接插入卷管表面的凹槽中（不允许采用双面胶粘贴面料）。</w:t>
      </w:r>
    </w:p>
    <w:p>
      <w:pPr>
        <w:jc w:val="center"/>
      </w:pPr>
      <w:r>
        <w:rPr>
          <w:lang w:val="en-US" w:bidi="ar-SA"/>
        </w:rPr>
        <w:drawing>
          <wp:inline distT="0" distB="0" distL="114300" distR="114300">
            <wp:extent cx="2352675" cy="1381125"/>
            <wp:effectExtent l="0" t="0" r="9525" b="5715"/>
            <wp:docPr id="1" name="图片 1" descr="C:\Users\Lenovo\Desktop\微信图片_20170808112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微信图片_20170808112054.jpg"/>
                    <pic:cNvPicPr>
                      <a:picLocks noChangeAspect="1"/>
                    </pic:cNvPicPr>
                  </pic:nvPicPr>
                  <pic:blipFill>
                    <a:blip r:embed="rId4" cstate="print"/>
                    <a:stretch>
                      <a:fillRect/>
                    </a:stretch>
                  </pic:blipFill>
                  <pic:spPr>
                    <a:xfrm>
                      <a:off x="0" y="0"/>
                      <a:ext cx="2352675" cy="1381125"/>
                    </a:xfrm>
                    <a:prstGeom prst="rect">
                      <a:avLst/>
                    </a:prstGeom>
                    <a:noFill/>
                    <a:ln>
                      <a:noFill/>
                    </a:ln>
                  </pic:spPr>
                </pic:pic>
              </a:graphicData>
            </a:graphic>
          </wp:inline>
        </w:drawing>
      </w:r>
    </w:p>
    <w:p>
      <w:pPr>
        <w:spacing w:line="360" w:lineRule="exact"/>
      </w:pPr>
      <w:r>
        <w:rPr>
          <w:rFonts w:hint="eastAsia"/>
          <w:b/>
          <w:bCs/>
        </w:rPr>
        <w:t>2.4、</w:t>
      </w:r>
      <w:r>
        <w:rPr>
          <w:rFonts w:hint="eastAsia"/>
          <w:b/>
        </w:rPr>
        <w:t>拉珠部分</w:t>
      </w:r>
      <w:r>
        <w:rPr>
          <w:rFonts w:hint="eastAsia"/>
        </w:rPr>
        <w:t>：拉珠为POM材质，颗粒圆整、间距均匀，表面光洁、不易褪色，规格为：4.5*5mm</w:t>
      </w:r>
    </w:p>
    <w:p>
      <w:pPr>
        <w:spacing w:line="360" w:lineRule="exact"/>
      </w:pPr>
      <w:r>
        <w:rPr>
          <w:rFonts w:hint="eastAsia"/>
          <w:b/>
          <w:bCs/>
        </w:rPr>
        <w:t>2.5、</w:t>
      </w:r>
      <w:r>
        <w:rPr>
          <w:rFonts w:hint="eastAsia"/>
          <w:b/>
        </w:rPr>
        <w:t>安装码：</w:t>
      </w:r>
      <w:r>
        <w:rPr>
          <w:rFonts w:hint="eastAsia"/>
        </w:rPr>
        <w:t>采用</w:t>
      </w:r>
      <w:r>
        <w:t>优质金属安装码，冷扎钢板，充分保证产品的强度；安装码采用喷粉</w:t>
      </w:r>
      <w:r>
        <w:rPr>
          <w:rFonts w:hint="eastAsia"/>
        </w:rPr>
        <w:t>。</w:t>
      </w:r>
    </w:p>
    <w:p>
      <w:pPr>
        <w:spacing w:line="360" w:lineRule="exact"/>
      </w:pPr>
    </w:p>
    <w:p>
      <w:pPr>
        <w:spacing w:line="360" w:lineRule="exact"/>
        <w:ind w:firstLine="221" w:firstLineChars="100"/>
        <w:rPr>
          <w:b/>
          <w:bCs/>
        </w:rPr>
      </w:pPr>
    </w:p>
    <w:p>
      <w:pPr>
        <w:spacing w:line="360" w:lineRule="exact"/>
        <w:ind w:firstLine="221" w:firstLineChars="100"/>
        <w:rPr>
          <w:b/>
        </w:rPr>
      </w:pPr>
      <w:r>
        <w:rPr>
          <w:rFonts w:hint="eastAsia"/>
          <w:b/>
          <w:bCs/>
        </w:rPr>
        <w:t>2.6</w:t>
      </w:r>
      <w:r>
        <w:rPr>
          <w:rFonts w:hint="eastAsia"/>
          <w:b/>
        </w:rPr>
        <w:t>、轨道部分：</w:t>
      </w:r>
    </w:p>
    <w:p>
      <w:pPr>
        <w:spacing w:line="360" w:lineRule="exact"/>
        <w:ind w:firstLine="220" w:firstLineChars="100"/>
      </w:pPr>
      <w:r>
        <w:rPr>
          <w:color w:val="FF0000"/>
          <w:lang w:val="en-US" w:bidi="ar-SA"/>
        </w:rPr>
        <w:drawing>
          <wp:anchor distT="0" distB="0" distL="0" distR="0" simplePos="0" relativeHeight="251658240" behindDoc="1" locked="0" layoutInCell="1" allowOverlap="1">
            <wp:simplePos x="0" y="0"/>
            <wp:positionH relativeFrom="column">
              <wp:posOffset>1345565</wp:posOffset>
            </wp:positionH>
            <wp:positionV relativeFrom="paragraph">
              <wp:posOffset>589280</wp:posOffset>
            </wp:positionV>
            <wp:extent cx="3076575" cy="1962150"/>
            <wp:effectExtent l="0" t="0" r="1905" b="3810"/>
            <wp:wrapTight wrapText="bothSides">
              <wp:wrapPolygon>
                <wp:start x="0" y="0"/>
                <wp:lineTo x="0" y="21474"/>
                <wp:lineTo x="21506" y="21474"/>
                <wp:lineTo x="21506" y="0"/>
                <wp:lineTo x="0" y="0"/>
              </wp:wrapPolygon>
            </wp:wrapTight>
            <wp:docPr id="3" name="图片 8" descr="C:\Users\Lenovo\Desktop\微信图片_20170808113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C:\Users\Lenovo\Desktop\微信图片_20170808113131.jpg"/>
                    <pic:cNvPicPr>
                      <a:picLocks noChangeAspect="1"/>
                    </pic:cNvPicPr>
                  </pic:nvPicPr>
                  <pic:blipFill>
                    <a:blip r:embed="rId5" cstate="print"/>
                    <a:stretch>
                      <a:fillRect/>
                    </a:stretch>
                  </pic:blipFill>
                  <pic:spPr>
                    <a:xfrm>
                      <a:off x="0" y="0"/>
                      <a:ext cx="3076575" cy="1962150"/>
                    </a:xfrm>
                    <a:prstGeom prst="rect">
                      <a:avLst/>
                    </a:prstGeom>
                    <a:noFill/>
                    <a:ln>
                      <a:noFill/>
                    </a:ln>
                  </pic:spPr>
                </pic:pic>
              </a:graphicData>
            </a:graphic>
          </wp:anchor>
        </w:drawing>
      </w:r>
      <w:r>
        <w:rPr>
          <w:rFonts w:hint="eastAsia"/>
        </w:rPr>
        <w:t>采用门字型轨道，宽度≥20㎜，高度≥25㎜，铝合金材质，表面电泳处理，POM树脂耐磨滑轮，持久静音，单个滑轮承重2kg.</w:t>
      </w:r>
    </w:p>
    <w:p>
      <w:pPr>
        <w:jc w:val="center"/>
        <w:rPr>
          <w:b/>
          <w:bCs/>
          <w:sz w:val="24"/>
        </w:rPr>
      </w:pPr>
      <w:r>
        <w:rPr>
          <w:b/>
          <w:color w:val="000000"/>
          <w:sz w:val="32"/>
          <w:szCs w:val="32"/>
          <w:lang w:val="en-US" w:bidi="ar-SA"/>
        </w:rPr>
        <w:drawing>
          <wp:inline distT="0" distB="0" distL="114300" distR="114300">
            <wp:extent cx="2647950" cy="2276475"/>
            <wp:effectExtent l="0" t="0" r="3810" b="9525"/>
            <wp:docPr id="2" name="图片 2" descr="C:\Users\liufei\AppData\Local\Temp\ksohtml\wps_clip_image-65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iufei\AppData\Local\Temp\ksohtml\wps_clip_image-6563.png"/>
                    <pic:cNvPicPr>
                      <a:picLocks noChangeAspect="1"/>
                    </pic:cNvPicPr>
                  </pic:nvPicPr>
                  <pic:blipFill>
                    <a:blip r:embed="rId6" cstate="print"/>
                    <a:stretch>
                      <a:fillRect/>
                    </a:stretch>
                  </pic:blipFill>
                  <pic:spPr>
                    <a:xfrm>
                      <a:off x="0" y="0"/>
                      <a:ext cx="2647950" cy="2276475"/>
                    </a:xfrm>
                    <a:prstGeom prst="rect">
                      <a:avLst/>
                    </a:prstGeom>
                    <a:noFill/>
                    <a:ln>
                      <a:noFill/>
                    </a:ln>
                  </pic:spPr>
                </pic:pic>
              </a:graphicData>
            </a:graphic>
          </wp:inline>
        </w:drawing>
      </w:r>
    </w:p>
    <w:p>
      <w:pPr>
        <w:spacing w:line="360" w:lineRule="exact"/>
        <w:rPr>
          <w:b/>
        </w:rPr>
      </w:pPr>
      <w:r>
        <w:rPr>
          <w:rFonts w:hint="eastAsia"/>
          <w:b/>
        </w:rPr>
        <w:t>3、其它要求：</w:t>
      </w:r>
    </w:p>
    <w:p>
      <w:pPr>
        <w:spacing w:line="360" w:lineRule="exact"/>
        <w:ind w:left="220" w:leftChars="100"/>
      </w:pPr>
      <w:r>
        <w:rPr>
          <w:rFonts w:hint="eastAsia"/>
        </w:rPr>
        <w:t>3</w:t>
      </w:r>
      <w:r>
        <w:t>.1</w:t>
      </w:r>
      <w:r>
        <w:rPr>
          <w:rFonts w:hint="eastAsia"/>
        </w:rPr>
        <w:t xml:space="preserve">、按采购单位的实际需要免费送至指定地点，并负责安装。 </w:t>
      </w:r>
    </w:p>
    <w:p>
      <w:pPr>
        <w:spacing w:line="360" w:lineRule="exact"/>
        <w:ind w:left="220" w:leftChars="100"/>
      </w:pPr>
      <w:r>
        <w:rPr>
          <w:rFonts w:hint="eastAsia"/>
        </w:rPr>
        <w:t>3</w:t>
      </w:r>
      <w:r>
        <w:t>.</w:t>
      </w:r>
      <w:r>
        <w:rPr>
          <w:rFonts w:hint="eastAsia"/>
        </w:rPr>
        <w:t>2、供应商需提供有资质正规检测机构的检测报告的面料成分检测报告，检测报告复印件需放入投标文件中，原件备查。</w:t>
      </w:r>
    </w:p>
    <w:p>
      <w:pPr>
        <w:spacing w:line="360" w:lineRule="exact"/>
        <w:ind w:firstLine="220" w:firstLineChars="100"/>
      </w:pPr>
      <w:r>
        <w:rPr>
          <w:rFonts w:hint="eastAsia"/>
        </w:rPr>
        <w:t>3</w:t>
      </w:r>
      <w:r>
        <w:t>.</w:t>
      </w:r>
      <w:r>
        <w:rPr>
          <w:rFonts w:hint="eastAsia"/>
        </w:rPr>
        <w:t>3、服务期内中标单位根据采购人的要求及时准备供货，派出安装技术人员做好窗帘安装前的相关准备工作，保证窗帘的安装按期进行，一次性通过相关部门验收合格。</w:t>
      </w:r>
    </w:p>
    <w:p>
      <w:pPr>
        <w:spacing w:line="360" w:lineRule="exact"/>
        <w:ind w:firstLine="220" w:firstLineChars="100"/>
      </w:pPr>
      <w:r>
        <w:rPr>
          <w:rFonts w:hint="eastAsia"/>
        </w:rPr>
        <w:t>3</w:t>
      </w:r>
      <w:r>
        <w:t>.</w:t>
      </w:r>
      <w:r>
        <w:rPr>
          <w:rFonts w:hint="eastAsia"/>
        </w:rPr>
        <w:t>4、产品的质保期至少为一年（具体时间以验收合格之日起至少一年质保），质量保证期内免费更换零配件（人为损坏除外），质量保证期满后实行终身有偿维修保养。要求成交人接到用户报修电话后3小时内维修人员赶到现场检修处理。</w:t>
      </w:r>
    </w:p>
    <w:p>
      <w:pPr>
        <w:spacing w:line="360" w:lineRule="exact"/>
        <w:ind w:firstLine="221" w:firstLineChars="100"/>
        <w:rPr>
          <w:b/>
          <w:bCs/>
        </w:rPr>
      </w:pPr>
      <w:r>
        <w:rPr>
          <w:rFonts w:hint="eastAsia"/>
          <w:b/>
          <w:bCs/>
        </w:rPr>
        <w:t>3.5、投标单位根据招标文件的要求</w:t>
      </w:r>
      <w:r>
        <w:rPr>
          <w:rFonts w:hint="eastAsia"/>
          <w:b/>
          <w:bCs/>
          <w:color w:val="0000FF"/>
        </w:rPr>
        <w:t>，只需</w:t>
      </w:r>
      <w:r>
        <w:rPr>
          <w:rFonts w:hint="eastAsia"/>
          <w:b/>
          <w:bCs/>
        </w:rPr>
        <w:t>提供一块30cm×30cm</w:t>
      </w:r>
      <w:r>
        <w:rPr>
          <w:rFonts w:hint="eastAsia"/>
          <w:b/>
          <w:bCs/>
          <w:color w:val="FF0000"/>
        </w:rPr>
        <w:t>遮光布</w:t>
      </w:r>
      <w:r>
        <w:rPr>
          <w:rFonts w:hint="eastAsia"/>
          <w:b/>
          <w:bCs/>
        </w:rPr>
        <w:t>的小样（颜色为浅灰色，中标后根据采购人的需求颜色可以调整），开标时密封在单独的信封中，封口处盖上单位公章，与招标文件正本密封在同一包内。</w:t>
      </w:r>
    </w:p>
    <w:p>
      <w:pPr>
        <w:spacing w:line="360" w:lineRule="exact"/>
        <w:ind w:firstLine="221" w:firstLineChars="100"/>
      </w:pPr>
      <w:r>
        <w:rPr>
          <w:rFonts w:hint="eastAsia"/>
          <w:b/>
          <w:bCs/>
        </w:rPr>
        <w:t>3.6、投标产品需提供检测报告的必须提供正规机构的检测报告，无检测报告或检测报告要求的信息不全作无效投标。</w:t>
      </w:r>
    </w:p>
    <w:p>
      <w:pPr>
        <w:spacing w:line="360" w:lineRule="exact"/>
        <w:ind w:firstLine="221" w:firstLineChars="100"/>
        <w:rPr>
          <w:b/>
        </w:rPr>
      </w:pPr>
      <w:r>
        <w:rPr>
          <w:rFonts w:hint="eastAsia"/>
          <w:b/>
        </w:rPr>
        <w:t>4、验收</w:t>
      </w:r>
    </w:p>
    <w:p>
      <w:pPr>
        <w:spacing w:line="360" w:lineRule="exact"/>
        <w:ind w:firstLine="220" w:firstLineChars="100"/>
      </w:pPr>
      <w:r>
        <w:rPr>
          <w:rFonts w:hint="eastAsia"/>
        </w:rPr>
        <w:t>4</w:t>
      </w:r>
      <w:r>
        <w:t>.</w:t>
      </w:r>
      <w:r>
        <w:rPr>
          <w:rFonts w:hint="eastAsia"/>
        </w:rPr>
        <w:t xml:space="preserve">1、根据采购人要求、国家标准等现场验收。 </w:t>
      </w:r>
    </w:p>
    <w:p>
      <w:pPr>
        <w:spacing w:line="360" w:lineRule="exact"/>
        <w:ind w:firstLine="220" w:firstLineChars="100"/>
        <w:rPr>
          <w:b/>
          <w:spacing w:val="20"/>
          <w:sz w:val="32"/>
          <w:szCs w:val="32"/>
        </w:rPr>
      </w:pPr>
      <w:r>
        <w:rPr>
          <w:rFonts w:hint="eastAsia"/>
        </w:rPr>
        <w:t>4</w:t>
      </w:r>
      <w:r>
        <w:t>.</w:t>
      </w:r>
      <w:r>
        <w:rPr>
          <w:rFonts w:hint="eastAsia"/>
        </w:rPr>
        <w:t>2、采购人根据中标供应商提供的遮光布小样、产品窗帘的技术规格要求和质量标准进行</w:t>
      </w:r>
      <w:r>
        <w:t>验收</w:t>
      </w:r>
      <w:r>
        <w:rPr>
          <w:rFonts w:hint="eastAsia"/>
        </w:rPr>
        <w:t>，验收</w:t>
      </w:r>
      <w:r>
        <w:t>中</w:t>
      </w:r>
      <w:r>
        <w:rPr>
          <w:rFonts w:hint="eastAsia"/>
        </w:rPr>
        <w:t>如果发现所供</w:t>
      </w:r>
      <w:r>
        <w:t>的窗帘</w:t>
      </w:r>
      <w:r>
        <w:rPr>
          <w:rFonts w:hint="eastAsia"/>
        </w:rPr>
        <w:t>出现质量问题，成交单位应负责按照采购人的要求采取更换或退货等处理措施，并承担由此发生的一切损失和费用。</w:t>
      </w:r>
    </w:p>
    <w:p>
      <w:pPr>
        <w:ind w:firstLine="482" w:firstLineChars="200"/>
        <w:rPr>
          <w:kern w:val="2"/>
          <w:sz w:val="21"/>
          <w:szCs w:val="21"/>
        </w:rPr>
      </w:pPr>
      <w:r>
        <w:rPr>
          <w:rFonts w:hint="eastAsia"/>
          <w:b/>
          <w:bCs/>
          <w:sz w:val="24"/>
          <w:szCs w:val="24"/>
        </w:rPr>
        <w:t>二、报价单</w:t>
      </w:r>
    </w:p>
    <w:tbl>
      <w:tblPr>
        <w:tblStyle w:val="7"/>
        <w:tblW w:w="0" w:type="auto"/>
        <w:tblInd w:w="-748" w:type="dxa"/>
        <w:tblLayout w:type="fixed"/>
        <w:tblCellMar>
          <w:top w:w="15" w:type="dxa"/>
          <w:left w:w="15" w:type="dxa"/>
          <w:bottom w:w="15" w:type="dxa"/>
          <w:right w:w="15" w:type="dxa"/>
        </w:tblCellMar>
      </w:tblPr>
      <w:tblGrid>
        <w:gridCol w:w="823"/>
        <w:gridCol w:w="1357"/>
        <w:gridCol w:w="706"/>
        <w:gridCol w:w="3200"/>
        <w:gridCol w:w="1184"/>
        <w:gridCol w:w="403"/>
        <w:gridCol w:w="2908"/>
        <w:gridCol w:w="1967"/>
      </w:tblGrid>
      <w:tr>
        <w:tblPrEx>
          <w:tblCellMar>
            <w:top w:w="15" w:type="dxa"/>
            <w:left w:w="15" w:type="dxa"/>
            <w:bottom w:w="15" w:type="dxa"/>
            <w:right w:w="15" w:type="dxa"/>
          </w:tblCellMar>
        </w:tblPrEx>
        <w:trPr>
          <w:trHeight w:val="9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序号</w:t>
            </w:r>
          </w:p>
        </w:tc>
        <w:tc>
          <w:tcPr>
            <w:tcW w:w="206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窗帘名称</w:t>
            </w: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材料、材质</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单位</w:t>
            </w:r>
          </w:p>
        </w:tc>
        <w:tc>
          <w:tcPr>
            <w:tcW w:w="33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综合单价最高限价（元）</w:t>
            </w:r>
          </w:p>
        </w:tc>
        <w:tc>
          <w:tcPr>
            <w:tcW w:w="19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供应商报价</w:t>
            </w:r>
          </w:p>
        </w:tc>
      </w:tr>
      <w:tr>
        <w:tblPrEx>
          <w:tblCellMar>
            <w:top w:w="15" w:type="dxa"/>
            <w:left w:w="15" w:type="dxa"/>
            <w:bottom w:w="15" w:type="dxa"/>
            <w:right w:w="15" w:type="dxa"/>
          </w:tblCellMar>
        </w:tblPrEx>
        <w:trPr>
          <w:trHeight w:val="358" w:hRule="atLeast"/>
        </w:trPr>
        <w:tc>
          <w:tcPr>
            <w:tcW w:w="8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w:t>
            </w:r>
          </w:p>
        </w:tc>
        <w:tc>
          <w:tcPr>
            <w:tcW w:w="206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ind w:firstLine="630" w:firstLineChars="300"/>
              <w:textAlignment w:val="center"/>
              <w:rPr>
                <w:color w:val="000000"/>
                <w:sz w:val="21"/>
                <w:szCs w:val="21"/>
              </w:rPr>
            </w:pPr>
            <w:r>
              <w:rPr>
                <w:rFonts w:hint="eastAsia"/>
                <w:color w:val="000000"/>
                <w:sz w:val="21"/>
                <w:szCs w:val="21"/>
              </w:rPr>
              <w:t>遮光布</w:t>
            </w: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主体：涤纶、遮光布、阻燃</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平方米</w:t>
            </w:r>
          </w:p>
        </w:tc>
        <w:tc>
          <w:tcPr>
            <w:tcW w:w="33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25</w:t>
            </w:r>
          </w:p>
        </w:tc>
        <w:tc>
          <w:tcPr>
            <w:tcW w:w="19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305"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罗马杆：铝合金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米</w:t>
            </w:r>
          </w:p>
        </w:tc>
        <w:tc>
          <w:tcPr>
            <w:tcW w:w="33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22</w:t>
            </w:r>
          </w:p>
        </w:tc>
        <w:tc>
          <w:tcPr>
            <w:tcW w:w="19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238"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轨道：铝合金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米</w:t>
            </w:r>
          </w:p>
        </w:tc>
        <w:tc>
          <w:tcPr>
            <w:tcW w:w="33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22</w:t>
            </w:r>
          </w:p>
        </w:tc>
        <w:tc>
          <w:tcPr>
            <w:tcW w:w="19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172"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S钩：烤漆</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个</w:t>
            </w:r>
          </w:p>
        </w:tc>
        <w:tc>
          <w:tcPr>
            <w:tcW w:w="33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w:t>
            </w:r>
          </w:p>
        </w:tc>
        <w:tc>
          <w:tcPr>
            <w:tcW w:w="19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239"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罗马圈：纳米环</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个</w:t>
            </w:r>
          </w:p>
        </w:tc>
        <w:tc>
          <w:tcPr>
            <w:tcW w:w="33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w:t>
            </w:r>
          </w:p>
        </w:tc>
        <w:tc>
          <w:tcPr>
            <w:tcW w:w="19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332" w:hRule="atLeast"/>
        </w:trPr>
        <w:tc>
          <w:tcPr>
            <w:tcW w:w="8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w:t>
            </w:r>
          </w:p>
        </w:tc>
        <w:tc>
          <w:tcPr>
            <w:tcW w:w="206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卷帘</w:t>
            </w: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主体：涤纶</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平方米</w:t>
            </w:r>
          </w:p>
        </w:tc>
        <w:tc>
          <w:tcPr>
            <w:tcW w:w="33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30</w:t>
            </w:r>
          </w:p>
        </w:tc>
        <w:tc>
          <w:tcPr>
            <w:tcW w:w="19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398"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卷管：铝合金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米</w:t>
            </w:r>
          </w:p>
        </w:tc>
        <w:tc>
          <w:tcPr>
            <w:tcW w:w="33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12</w:t>
            </w:r>
          </w:p>
        </w:tc>
        <w:tc>
          <w:tcPr>
            <w:tcW w:w="19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252"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拉珠：POM</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个</w:t>
            </w:r>
          </w:p>
        </w:tc>
        <w:tc>
          <w:tcPr>
            <w:tcW w:w="33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15</w:t>
            </w:r>
          </w:p>
        </w:tc>
        <w:tc>
          <w:tcPr>
            <w:tcW w:w="19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292" w:hRule="atLeast"/>
        </w:trPr>
        <w:tc>
          <w:tcPr>
            <w:tcW w:w="8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3</w:t>
            </w:r>
          </w:p>
        </w:tc>
        <w:tc>
          <w:tcPr>
            <w:tcW w:w="206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百叶窗</w:t>
            </w: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主体：铝合金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平方米</w:t>
            </w:r>
          </w:p>
        </w:tc>
        <w:tc>
          <w:tcPr>
            <w:tcW w:w="33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35</w:t>
            </w:r>
          </w:p>
        </w:tc>
        <w:tc>
          <w:tcPr>
            <w:tcW w:w="19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291"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上下梁：铝合金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米</w:t>
            </w:r>
          </w:p>
        </w:tc>
        <w:tc>
          <w:tcPr>
            <w:tcW w:w="33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10</w:t>
            </w:r>
          </w:p>
        </w:tc>
        <w:tc>
          <w:tcPr>
            <w:tcW w:w="19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321"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拉珠：POM</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个</w:t>
            </w:r>
          </w:p>
        </w:tc>
        <w:tc>
          <w:tcPr>
            <w:tcW w:w="33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15</w:t>
            </w:r>
          </w:p>
        </w:tc>
        <w:tc>
          <w:tcPr>
            <w:tcW w:w="19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414" w:hRule="atLeast"/>
        </w:trPr>
        <w:tc>
          <w:tcPr>
            <w:tcW w:w="10581" w:type="dxa"/>
            <w:gridSpan w:val="7"/>
            <w:tcBorders>
              <w:top w:val="single" w:color="000000" w:sz="4" w:space="0"/>
              <w:left w:val="single" w:color="000000" w:sz="4" w:space="0"/>
              <w:bottom w:val="single" w:color="000000" w:sz="4" w:space="0"/>
              <w:right w:val="single" w:color="000000" w:sz="4" w:space="0"/>
            </w:tcBorders>
            <w:vAlign w:val="center"/>
          </w:tcPr>
          <w:p>
            <w:pPr>
              <w:widowControl/>
              <w:tabs>
                <w:tab w:val="left" w:pos="6880"/>
              </w:tabs>
              <w:textAlignment w:val="center"/>
              <w:rPr>
                <w:color w:val="000000"/>
                <w:sz w:val="21"/>
                <w:szCs w:val="21"/>
              </w:rPr>
            </w:pPr>
            <w:r>
              <w:rPr>
                <w:rFonts w:hint="eastAsia"/>
                <w:color w:val="000000"/>
                <w:sz w:val="21"/>
                <w:szCs w:val="21"/>
              </w:rPr>
              <w:tab/>
            </w:r>
            <w:r>
              <w:rPr>
                <w:rFonts w:hint="eastAsia"/>
                <w:color w:val="000000"/>
                <w:sz w:val="21"/>
                <w:szCs w:val="21"/>
              </w:rPr>
              <w:t>投标总价（元）</w:t>
            </w:r>
          </w:p>
        </w:tc>
        <w:tc>
          <w:tcPr>
            <w:tcW w:w="19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414" w:hRule="atLeast"/>
        </w:trPr>
        <w:tc>
          <w:tcPr>
            <w:tcW w:w="7673" w:type="dxa"/>
            <w:gridSpan w:val="6"/>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color w:val="000000"/>
                <w:sz w:val="21"/>
                <w:szCs w:val="21"/>
              </w:rPr>
            </w:pPr>
            <w:r>
              <w:rPr>
                <w:rFonts w:hint="eastAsia"/>
                <w:color w:val="000000"/>
                <w:sz w:val="21"/>
                <w:szCs w:val="21"/>
              </w:rPr>
              <w:t>产品质保期</w:t>
            </w:r>
          </w:p>
        </w:tc>
        <w:tc>
          <w:tcPr>
            <w:tcW w:w="487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color w:val="000000"/>
                <w:sz w:val="21"/>
                <w:szCs w:val="21"/>
                <w:lang w:val="en-US"/>
              </w:rPr>
            </w:pPr>
            <w:r>
              <w:rPr>
                <w:rFonts w:hint="eastAsia"/>
                <w:color w:val="000000"/>
                <w:sz w:val="21"/>
                <w:szCs w:val="21"/>
              </w:rPr>
              <w:t>产品质保期为</w:t>
            </w:r>
            <w:r>
              <w:rPr>
                <w:rFonts w:hint="eastAsia"/>
                <w:color w:val="000000"/>
                <w:sz w:val="21"/>
                <w:szCs w:val="21"/>
                <w:u w:val="single"/>
                <w:lang w:val="en-US"/>
              </w:rPr>
              <w:t xml:space="preserve">    </w:t>
            </w:r>
            <w:r>
              <w:rPr>
                <w:rFonts w:hint="eastAsia"/>
                <w:color w:val="000000"/>
                <w:sz w:val="21"/>
                <w:szCs w:val="21"/>
                <w:lang w:val="en-US"/>
              </w:rPr>
              <w:t>月</w:t>
            </w:r>
          </w:p>
        </w:tc>
      </w:tr>
      <w:tr>
        <w:tblPrEx>
          <w:tblCellMar>
            <w:top w:w="15" w:type="dxa"/>
            <w:left w:w="15" w:type="dxa"/>
            <w:bottom w:w="15" w:type="dxa"/>
            <w:right w:w="15" w:type="dxa"/>
          </w:tblCellMar>
        </w:tblPrEx>
        <w:trPr>
          <w:trHeight w:val="414" w:hRule="atLeast"/>
        </w:trPr>
        <w:tc>
          <w:tcPr>
            <w:tcW w:w="7673" w:type="dxa"/>
            <w:gridSpan w:val="6"/>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color w:val="000000"/>
                <w:sz w:val="21"/>
                <w:szCs w:val="21"/>
              </w:rPr>
            </w:pPr>
            <w:r>
              <w:rPr>
                <w:rFonts w:hint="eastAsia"/>
                <w:color w:val="000000"/>
                <w:sz w:val="21"/>
                <w:szCs w:val="21"/>
              </w:rPr>
              <w:t>交货期限</w:t>
            </w:r>
          </w:p>
        </w:tc>
        <w:tc>
          <w:tcPr>
            <w:tcW w:w="4875"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color w:val="000000"/>
                <w:sz w:val="21"/>
                <w:szCs w:val="21"/>
                <w:lang w:val="en-US"/>
              </w:rPr>
            </w:pPr>
            <w:r>
              <w:rPr>
                <w:rFonts w:hint="eastAsia"/>
                <w:color w:val="000000"/>
                <w:sz w:val="21"/>
                <w:szCs w:val="21"/>
              </w:rPr>
              <w:t>收到安装通知后</w:t>
            </w:r>
            <w:r>
              <w:rPr>
                <w:rFonts w:hint="eastAsia"/>
                <w:color w:val="000000"/>
                <w:sz w:val="21"/>
                <w:szCs w:val="21"/>
                <w:u w:val="single"/>
                <w:lang w:val="en-US"/>
              </w:rPr>
              <w:t xml:space="preserve">   </w:t>
            </w:r>
            <w:r>
              <w:rPr>
                <w:rFonts w:hint="eastAsia"/>
                <w:color w:val="000000"/>
                <w:sz w:val="21"/>
                <w:szCs w:val="21"/>
                <w:lang w:val="en-US"/>
              </w:rPr>
              <w:t>日内完工</w:t>
            </w:r>
          </w:p>
        </w:tc>
      </w:tr>
      <w:tr>
        <w:tblPrEx>
          <w:tblCellMar>
            <w:top w:w="15" w:type="dxa"/>
            <w:left w:w="15" w:type="dxa"/>
            <w:bottom w:w="15" w:type="dxa"/>
            <w:right w:w="15" w:type="dxa"/>
          </w:tblCellMar>
        </w:tblPrEx>
        <w:trPr>
          <w:trHeight w:val="414" w:hRule="atLeast"/>
        </w:trPr>
        <w:tc>
          <w:tcPr>
            <w:tcW w:w="2180"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color w:val="000000"/>
                <w:sz w:val="21"/>
                <w:szCs w:val="21"/>
                <w:lang w:val="en-US"/>
              </w:rPr>
            </w:pPr>
            <w:r>
              <w:rPr>
                <w:rFonts w:hint="eastAsia"/>
                <w:color w:val="000000"/>
                <w:sz w:val="21"/>
                <w:szCs w:val="21"/>
              </w:rPr>
              <w:t>服务支持响应时间</w:t>
            </w:r>
            <w:r>
              <w:rPr>
                <w:rFonts w:hint="eastAsia"/>
                <w:color w:val="000000"/>
                <w:sz w:val="21"/>
                <w:szCs w:val="21"/>
                <w:lang w:val="en-US"/>
              </w:rPr>
              <w:t>/</w:t>
            </w:r>
            <w:r>
              <w:rPr>
                <w:rFonts w:hint="eastAsia"/>
              </w:rPr>
              <w:t>故障响应时间</w:t>
            </w:r>
          </w:p>
        </w:tc>
        <w:tc>
          <w:tcPr>
            <w:tcW w:w="10368" w:type="dxa"/>
            <w:gridSpan w:val="6"/>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465" w:hRule="atLeast"/>
        </w:trPr>
        <w:tc>
          <w:tcPr>
            <w:tcW w:w="12548" w:type="dxa"/>
            <w:gridSpan w:val="8"/>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备注:1）、窗帘褶皱1：1.8（±5%）。</w:t>
            </w:r>
            <w:r>
              <w:rPr>
                <w:rFonts w:hint="eastAsia"/>
                <w:color w:val="000000"/>
                <w:sz w:val="21"/>
                <w:szCs w:val="21"/>
                <w:lang w:val="en-US"/>
              </w:rPr>
              <w:t>2）</w:t>
            </w:r>
            <w:r>
              <w:rPr>
                <w:rFonts w:hint="eastAsia"/>
                <w:color w:val="000000"/>
                <w:sz w:val="21"/>
                <w:szCs w:val="21"/>
              </w:rPr>
              <w:t>、最终结算计算方法：窗帘按照实际展开面积计算，罗马杆按照实际长度计算。</w:t>
            </w:r>
          </w:p>
          <w:p>
            <w:pPr>
              <w:widowControl/>
              <w:textAlignment w:val="center"/>
              <w:rPr>
                <w:color w:val="000000"/>
                <w:sz w:val="21"/>
                <w:szCs w:val="21"/>
              </w:rPr>
            </w:pPr>
            <w:r>
              <w:rPr>
                <w:rFonts w:hint="eastAsia"/>
                <w:color w:val="000000"/>
                <w:sz w:val="21"/>
                <w:szCs w:val="21"/>
                <w:lang w:val="en-US"/>
              </w:rPr>
              <w:t>3）</w:t>
            </w:r>
            <w:r>
              <w:rPr>
                <w:rFonts w:hint="eastAsia"/>
                <w:color w:val="000000"/>
                <w:sz w:val="21"/>
                <w:szCs w:val="21"/>
              </w:rPr>
              <w:t>、投标单价包括货物总价、集成、运费、制作、安装费、耗材及税金等全部费用。</w:t>
            </w:r>
            <w:r>
              <w:rPr>
                <w:rFonts w:hint="eastAsia"/>
                <w:color w:val="000000"/>
                <w:sz w:val="21"/>
                <w:szCs w:val="21"/>
                <w:lang w:val="en-US"/>
              </w:rPr>
              <w:t>4）</w:t>
            </w:r>
            <w:r>
              <w:rPr>
                <w:rFonts w:hint="eastAsia"/>
                <w:color w:val="000000"/>
                <w:sz w:val="21"/>
                <w:szCs w:val="21"/>
              </w:rPr>
              <w:t>、投标单位所报单价不得超过综合单价最高限价，否则为无效报价，投标无效。</w:t>
            </w:r>
          </w:p>
        </w:tc>
      </w:tr>
    </w:tbl>
    <w:p>
      <w:pPr>
        <w:rPr>
          <w:kern w:val="2"/>
          <w:sz w:val="21"/>
          <w:szCs w:val="21"/>
        </w:rPr>
      </w:pPr>
    </w:p>
    <w:p>
      <w:pPr>
        <w:pStyle w:val="3"/>
        <w:ind w:firstLine="3253" w:firstLineChars="1800"/>
        <w:jc w:val="left"/>
        <w:rPr>
          <w:rFonts w:hAnsi="宋体"/>
          <w:b/>
          <w:bCs/>
          <w:sz w:val="18"/>
          <w:szCs w:val="18"/>
        </w:rPr>
      </w:pPr>
    </w:p>
    <w:p>
      <w:pPr>
        <w:pStyle w:val="3"/>
        <w:ind w:firstLine="3253" w:firstLineChars="1800"/>
        <w:jc w:val="left"/>
        <w:rPr>
          <w:rFonts w:hAnsi="宋体"/>
          <w:b/>
          <w:bCs/>
          <w:sz w:val="18"/>
          <w:szCs w:val="18"/>
        </w:rPr>
      </w:pPr>
    </w:p>
    <w:p>
      <w:pPr>
        <w:pStyle w:val="3"/>
        <w:rPr>
          <w:rFonts w:hAnsi="宋体" w:cs="宋体"/>
          <w:b/>
          <w:bCs/>
          <w:kern w:val="0"/>
          <w:sz w:val="24"/>
          <w:szCs w:val="22"/>
          <w:lang w:bidi="zh-CN"/>
        </w:rPr>
      </w:pPr>
      <w:r>
        <w:rPr>
          <w:rFonts w:hint="eastAsia" w:hAnsi="宋体" w:cs="宋体"/>
          <w:b/>
          <w:bCs/>
          <w:kern w:val="0"/>
          <w:sz w:val="24"/>
          <w:szCs w:val="22"/>
          <w:lang w:bidi="zh-CN"/>
        </w:rPr>
        <w:t>供应商单位名称（盖印）：                                     联系人：                             联系电话：</w:t>
      </w:r>
    </w:p>
    <w:p>
      <w:pPr>
        <w:widowControl/>
        <w:rPr>
          <w:rFonts w:ascii="仿宋" w:hAnsi="仿宋" w:eastAsia="仿宋"/>
          <w:sz w:val="18"/>
          <w:szCs w:val="18"/>
        </w:rPr>
      </w:pPr>
    </w:p>
    <w:p>
      <w:pPr>
        <w:rPr>
          <w:sz w:val="21"/>
          <w:szCs w:val="21"/>
        </w:rPr>
      </w:pPr>
      <w:r>
        <w:rPr>
          <w:rFonts w:hint="eastAsia" w:ascii="仿宋" w:hAnsi="仿宋" w:eastAsia="仿宋"/>
          <w:sz w:val="21"/>
          <w:szCs w:val="21"/>
        </w:rPr>
        <w:t xml:space="preserve">  </w:t>
      </w:r>
    </w:p>
    <w:p>
      <w:r>
        <w:rPr>
          <w:rFonts w:hint="eastAsia"/>
        </w:rPr>
        <w:t>说明：</w:t>
      </w:r>
    </w:p>
    <w:p>
      <w:pPr>
        <w:autoSpaceDE/>
        <w:autoSpaceDN/>
        <w:ind w:firstLine="440" w:firstLineChars="200"/>
        <w:rPr>
          <w:b/>
          <w:bCs/>
        </w:rPr>
      </w:pPr>
      <w:r>
        <w:t>1</w:t>
      </w:r>
      <w:r>
        <w:rPr>
          <w:rFonts w:hint="eastAsia"/>
        </w:rPr>
        <w:t>、供应商报价时必须包含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r>
        <w:rPr>
          <w:rFonts w:hint="eastAsia"/>
          <w:b/>
          <w:bCs/>
        </w:rPr>
        <w:t>投标单位所报单价不得超过综合单价最高限价，否则为无效报价，投标无效。</w:t>
      </w:r>
    </w:p>
    <w:p>
      <w:pPr>
        <w:autoSpaceDE/>
        <w:autoSpaceDN/>
        <w:ind w:left="440" w:leftChars="200"/>
        <w:rPr>
          <w:lang w:val="en-US"/>
        </w:rPr>
      </w:pPr>
      <w:r>
        <w:rPr>
          <w:rFonts w:hint="eastAsia"/>
        </w:rPr>
        <w:t xml:space="preserve">2、请在报价单中填写响应采购人货物报价等内容，打印后盖上单位公章。                                                                                                                               </w:t>
      </w:r>
      <w:r>
        <w:rPr>
          <w:rFonts w:hint="eastAsia"/>
          <w:lang w:val="en-US"/>
        </w:rPr>
        <w:t xml:space="preserve">  </w:t>
      </w:r>
    </w:p>
    <w:p>
      <w:pPr>
        <w:spacing w:line="360" w:lineRule="exact"/>
        <w:ind w:firstLine="440" w:firstLineChars="200"/>
        <w:rPr>
          <w:b/>
          <w:bCs/>
        </w:rPr>
      </w:pPr>
      <w:r>
        <w:rPr>
          <w:rFonts w:hint="eastAsia"/>
          <w:lang w:val="en-US"/>
        </w:rPr>
        <w:t>3、</w:t>
      </w:r>
      <w:r>
        <w:rPr>
          <w:rFonts w:hint="eastAsia"/>
          <w:b/>
          <w:bCs/>
        </w:rPr>
        <w:t>附上单位资质证明材料复印件（包括营业执照、组织机构代码证、税务登记证或三证合一）、遮光布主体及卷帘主体的检测报告复印件。以上资质证书复印件需加盖单位公章。投标单位根据招标文件的要求，</w:t>
      </w:r>
      <w:r>
        <w:rPr>
          <w:rFonts w:hint="eastAsia"/>
          <w:b/>
          <w:bCs/>
          <w:color w:val="FF0000"/>
        </w:rPr>
        <w:t>只需</w:t>
      </w:r>
      <w:r>
        <w:rPr>
          <w:rFonts w:hint="eastAsia"/>
          <w:b/>
          <w:bCs/>
        </w:rPr>
        <w:t>提供一块30cm×30cm</w:t>
      </w:r>
      <w:r>
        <w:rPr>
          <w:rFonts w:hint="eastAsia"/>
          <w:b/>
          <w:bCs/>
          <w:color w:val="FF0000"/>
        </w:rPr>
        <w:t>遮光布</w:t>
      </w:r>
      <w:r>
        <w:rPr>
          <w:rFonts w:hint="eastAsia"/>
          <w:b/>
          <w:bCs/>
        </w:rPr>
        <w:t>的小样（颜色为浅灰色，中标后根据采购人的需求颜色可以调整），开标时密封在单独的信封中，封口处盖上单位公章，与投标文件密封在同一包内。</w:t>
      </w:r>
    </w:p>
    <w:p>
      <w:pPr>
        <w:autoSpaceDE/>
        <w:autoSpaceDN/>
        <w:ind w:firstLine="440" w:firstLineChars="200"/>
        <w:rPr>
          <w:b/>
          <w:bCs/>
        </w:rPr>
      </w:pPr>
      <w:r>
        <w:rPr>
          <w:rFonts w:hint="eastAsia"/>
          <w:lang w:val="en-US"/>
        </w:rPr>
        <w:t>4</w:t>
      </w:r>
      <w:r>
        <w:rPr>
          <w:rFonts w:hint="eastAsia"/>
        </w:rPr>
        <w:t>、</w:t>
      </w:r>
      <w:r>
        <w:rPr>
          <w:rFonts w:hint="eastAsia"/>
          <w:b/>
          <w:bCs/>
        </w:rPr>
        <w:t>本询价报价单一式三份，盖印，密封。</w:t>
      </w:r>
    </w:p>
    <w:p>
      <w:pPr>
        <w:autoSpaceDE/>
        <w:autoSpaceDN/>
        <w:ind w:firstLine="440" w:firstLineChars="200"/>
        <w:rPr>
          <w:color w:val="auto"/>
        </w:rPr>
      </w:pPr>
      <w:r>
        <w:rPr>
          <w:rFonts w:hint="eastAsia"/>
          <w:lang w:val="en-US"/>
        </w:rPr>
        <w:t>5</w:t>
      </w:r>
      <w:r>
        <w:rPr>
          <w:rFonts w:hint="eastAsia"/>
        </w:rPr>
        <w:t>、</w:t>
      </w:r>
      <w:r>
        <w:rPr>
          <w:rFonts w:hint="eastAsia"/>
          <w:color w:val="auto"/>
        </w:rPr>
        <w:t>请于</w:t>
      </w:r>
      <w:r>
        <w:rPr>
          <w:color w:val="auto"/>
        </w:rPr>
        <w:t>20</w:t>
      </w:r>
      <w:r>
        <w:rPr>
          <w:rFonts w:hint="eastAsia"/>
          <w:color w:val="auto"/>
          <w:lang w:val="en-US"/>
        </w:rPr>
        <w:t>20</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05</w:t>
      </w:r>
      <w:r>
        <w:rPr>
          <w:rFonts w:hint="eastAsia"/>
          <w:color w:val="auto"/>
        </w:rPr>
        <w:t>日下午</w:t>
      </w:r>
      <w:r>
        <w:rPr>
          <w:color w:val="auto"/>
        </w:rPr>
        <w:t>4:</w:t>
      </w:r>
      <w:r>
        <w:rPr>
          <w:rFonts w:hint="eastAsia"/>
          <w:color w:val="auto"/>
          <w:lang w:val="en-US" w:eastAsia="zh-CN"/>
        </w:rPr>
        <w:t>3</w:t>
      </w:r>
      <w:bookmarkStart w:id="0" w:name="_GoBack"/>
      <w:bookmarkEnd w:id="0"/>
      <w:r>
        <w:rPr>
          <w:color w:val="auto"/>
        </w:rPr>
        <w:t>0</w:t>
      </w:r>
      <w:r>
        <w:rPr>
          <w:rFonts w:hint="eastAsia"/>
          <w:color w:val="auto"/>
        </w:rPr>
        <w:t>前（工作时间为周一至周五上午</w:t>
      </w:r>
      <w:r>
        <w:rPr>
          <w:rFonts w:hint="eastAsia"/>
          <w:color w:val="auto"/>
          <w:lang w:val="en-US"/>
        </w:rPr>
        <w:t>08:20~11:30,下午13:40~16:30，节假日按照相关规定正常休息。）</w:t>
      </w:r>
      <w:r>
        <w:rPr>
          <w:rFonts w:hint="eastAsia"/>
          <w:color w:val="auto"/>
        </w:rPr>
        <w:t>将询价报告送至常州工业职业技术学院国有资产管理处（图文楼</w:t>
      </w:r>
      <w:r>
        <w:rPr>
          <w:color w:val="auto"/>
        </w:rPr>
        <w:t>1008</w:t>
      </w:r>
      <w:r>
        <w:rPr>
          <w:rFonts w:hint="eastAsia"/>
          <w:color w:val="auto"/>
        </w:rPr>
        <w:t>室）。联系人：王老师 司马老师 电话：</w:t>
      </w:r>
      <w:r>
        <w:rPr>
          <w:rFonts w:hint="eastAsia"/>
          <w:color w:val="auto"/>
          <w:lang w:val="en-US"/>
        </w:rPr>
        <w:t>0519-86335166</w:t>
      </w:r>
      <w:r>
        <w:rPr>
          <w:rFonts w:hint="eastAsia"/>
          <w:color w:val="auto"/>
        </w:rPr>
        <w:t>。</w:t>
      </w:r>
    </w:p>
    <w:p>
      <w:pPr>
        <w:autoSpaceDE/>
        <w:autoSpaceDN/>
        <w:ind w:firstLine="440" w:firstLineChars="200"/>
      </w:pPr>
      <w:r>
        <w:rPr>
          <w:rFonts w:hint="eastAsia"/>
          <w:lang w:val="en-US"/>
        </w:rPr>
        <w:t>6</w:t>
      </w:r>
      <w:r>
        <w:rPr>
          <w:rFonts w:hint="eastAsia"/>
        </w:rPr>
        <w:t>、成交原则：在符合采购需求、质量和服务相等且报价未超过采购预算的前提下</w:t>
      </w:r>
      <w:r>
        <w:rPr>
          <w:rFonts w:hint="eastAsia"/>
          <w:b w:val="0"/>
          <w:bCs w:val="0"/>
        </w:rPr>
        <w:t>，以提出最低</w:t>
      </w:r>
      <w:r>
        <w:rPr>
          <w:rFonts w:hint="eastAsia"/>
          <w:b w:val="0"/>
          <w:bCs w:val="0"/>
          <w:lang w:eastAsia="zh-CN"/>
        </w:rPr>
        <w:t>投标总</w:t>
      </w:r>
      <w:r>
        <w:rPr>
          <w:rFonts w:hint="eastAsia"/>
          <w:b w:val="0"/>
          <w:bCs w:val="0"/>
        </w:rPr>
        <w:t>价的响应单位为成交供应商</w:t>
      </w:r>
      <w:r>
        <w:rPr>
          <w:rFonts w:hint="eastAsia"/>
        </w:rPr>
        <w:t>。若最低报价相同，则依次按技术指标高优先、质量保证期长优先、交货期短优先、故障响应时间短优先的顺序排列选择成交供应商。</w:t>
      </w:r>
    </w:p>
    <w:p>
      <w:pPr>
        <w:autoSpaceDE/>
        <w:autoSpaceDN/>
        <w:ind w:firstLine="440" w:firstLineChars="200"/>
      </w:pPr>
      <w:r>
        <w:rPr>
          <w:rFonts w:hint="eastAsia"/>
          <w:lang w:val="en-US"/>
        </w:rPr>
        <w:t>7</w:t>
      </w:r>
      <w:r>
        <w:rPr>
          <w:rFonts w:hint="eastAsia"/>
        </w:rPr>
        <w:t>、若对采购内容有异议，请在三天内以书面形式向采购单位审计处反映。联系电话：0519-86335</w:t>
      </w:r>
      <w:r>
        <w:rPr>
          <w:rFonts w:hint="eastAsia"/>
          <w:lang w:val="en-US"/>
        </w:rPr>
        <w:t>201</w:t>
      </w:r>
      <w:r>
        <w:rPr>
          <w:rFonts w:hint="eastAsia"/>
        </w:rPr>
        <w:t>。</w:t>
      </w:r>
    </w:p>
    <w:p>
      <w:pPr>
        <w:autoSpaceDE/>
        <w:autoSpaceDN/>
        <w:ind w:firstLine="440" w:firstLineChars="200"/>
        <w:rPr>
          <w:lang w:val="en-US"/>
        </w:rPr>
      </w:pPr>
      <w:r>
        <w:rPr>
          <w:rFonts w:hint="eastAsia"/>
          <w:lang w:val="en-US"/>
        </w:rPr>
        <w:t>8、有关技术参数上面的疑问请咨询 曹老师 0519-86335088。</w:t>
      </w:r>
    </w:p>
    <w:p>
      <w:pPr>
        <w:autoSpaceDE/>
        <w:autoSpaceDN/>
        <w:ind w:firstLine="440" w:firstLineChars="200"/>
      </w:pPr>
      <w:r>
        <w:rPr>
          <w:rFonts w:hint="eastAsia"/>
          <w:lang w:val="en-US"/>
        </w:rPr>
        <w:t>9</w:t>
      </w:r>
      <w:r>
        <w:rPr>
          <w:rFonts w:hint="eastAsia"/>
        </w:rPr>
        <w:t>、服务地点：常州工业职业技术学院内。</w:t>
      </w:r>
    </w:p>
    <w:p>
      <w:pPr>
        <w:autoSpaceDE/>
        <w:autoSpaceDN/>
        <w:ind w:firstLine="440" w:firstLineChars="200"/>
      </w:pPr>
    </w:p>
    <w:p>
      <w:pPr>
        <w:autoSpaceDE/>
        <w:autoSpaceDN/>
        <w:ind w:firstLine="440" w:firstLineChars="200"/>
      </w:pPr>
      <w:r>
        <w:rPr>
          <w:rFonts w:hint="eastAsia"/>
        </w:rPr>
        <w:t>附件清单：</w:t>
      </w:r>
      <w:r>
        <w:rPr>
          <w:rFonts w:hint="eastAsia"/>
          <w:lang w:val="en-US"/>
        </w:rPr>
        <w:t>2020-2023年学院窗帘制作安装与维修服务项目考核表</w:t>
      </w:r>
    </w:p>
    <w:p>
      <w:pPr>
        <w:autoSpaceDE/>
        <w:autoSpaceDN/>
        <w:ind w:firstLine="440" w:firstLineChars="200"/>
      </w:pPr>
    </w:p>
    <w:tbl>
      <w:tblPr>
        <w:tblStyle w:val="7"/>
        <w:tblW w:w="13345" w:type="dxa"/>
        <w:tblInd w:w="0" w:type="dxa"/>
        <w:tblLayout w:type="autofit"/>
        <w:tblCellMar>
          <w:top w:w="0" w:type="dxa"/>
          <w:left w:w="0" w:type="dxa"/>
          <w:bottom w:w="0" w:type="dxa"/>
          <w:right w:w="0" w:type="dxa"/>
        </w:tblCellMar>
      </w:tblPr>
      <w:tblGrid>
        <w:gridCol w:w="960"/>
        <w:gridCol w:w="4864"/>
        <w:gridCol w:w="1280"/>
        <w:gridCol w:w="1266"/>
        <w:gridCol w:w="4975"/>
      </w:tblGrid>
      <w:tr>
        <w:tblPrEx>
          <w:tblCellMar>
            <w:top w:w="0" w:type="dxa"/>
            <w:left w:w="0" w:type="dxa"/>
            <w:bottom w:w="0" w:type="dxa"/>
            <w:right w:w="0" w:type="dxa"/>
          </w:tblCellMar>
        </w:tblPrEx>
        <w:trPr>
          <w:trHeight w:val="702" w:hRule="atLeast"/>
        </w:trPr>
        <w:tc>
          <w:tcPr>
            <w:tcW w:w="13353" w:type="dxa"/>
            <w:gridSpan w:val="5"/>
            <w:tcBorders>
              <w:top w:val="nil"/>
              <w:left w:val="nil"/>
              <w:bottom w:val="nil"/>
              <w:right w:val="nil"/>
            </w:tcBorders>
            <w:shd w:val="clear" w:color="auto" w:fill="auto"/>
            <w:tcMar>
              <w:top w:w="12" w:type="dxa"/>
              <w:left w:w="12" w:type="dxa"/>
              <w:right w:w="12" w:type="dxa"/>
            </w:tcMar>
            <w:vAlign w:val="bottom"/>
          </w:tcPr>
          <w:p>
            <w:pPr>
              <w:widowControl/>
              <w:jc w:val="center"/>
              <w:textAlignment w:val="bottom"/>
              <w:rPr>
                <w:color w:val="000000"/>
                <w:sz w:val="28"/>
                <w:szCs w:val="28"/>
                <w:lang w:val="en-US"/>
              </w:rPr>
            </w:pPr>
          </w:p>
          <w:p>
            <w:pPr>
              <w:widowControl/>
              <w:jc w:val="center"/>
              <w:textAlignment w:val="bottom"/>
              <w:rPr>
                <w:color w:val="000000"/>
                <w:sz w:val="28"/>
                <w:szCs w:val="28"/>
                <w:lang w:val="en-US"/>
              </w:rPr>
            </w:pPr>
          </w:p>
          <w:p>
            <w:pPr>
              <w:widowControl/>
              <w:jc w:val="center"/>
              <w:textAlignment w:val="bottom"/>
              <w:rPr>
                <w:color w:val="000000"/>
                <w:sz w:val="28"/>
                <w:szCs w:val="28"/>
              </w:rPr>
            </w:pPr>
            <w:r>
              <w:rPr>
                <w:rFonts w:hint="eastAsia"/>
                <w:color w:val="000000"/>
                <w:sz w:val="28"/>
                <w:szCs w:val="28"/>
                <w:lang w:val="en-US"/>
              </w:rPr>
              <w:t>2020-2023年学院窗帘制作安装与维修服务项目考核表</w:t>
            </w:r>
          </w:p>
        </w:tc>
      </w:tr>
      <w:tr>
        <w:tblPrEx>
          <w:tblCellMar>
            <w:top w:w="0" w:type="dxa"/>
            <w:left w:w="0" w:type="dxa"/>
            <w:bottom w:w="0" w:type="dxa"/>
            <w:right w:w="0" w:type="dxa"/>
          </w:tblCellMar>
        </w:tblPrEx>
        <w:trPr>
          <w:trHeight w:val="420" w:hRule="atLeast"/>
        </w:trPr>
        <w:tc>
          <w:tcPr>
            <w:tcW w:w="13353" w:type="dxa"/>
            <w:gridSpan w:val="5"/>
            <w:tcBorders>
              <w:top w:val="nil"/>
              <w:left w:val="nil"/>
              <w:bottom w:val="nil"/>
              <w:right w:val="nil"/>
            </w:tcBorders>
            <w:shd w:val="clear" w:color="auto" w:fill="auto"/>
            <w:tcMar>
              <w:top w:w="12" w:type="dxa"/>
              <w:left w:w="12" w:type="dxa"/>
              <w:right w:w="12" w:type="dxa"/>
            </w:tcMar>
            <w:vAlign w:val="bottom"/>
          </w:tcPr>
          <w:p>
            <w:pPr>
              <w:widowControl/>
              <w:textAlignment w:val="bottom"/>
              <w:rPr>
                <w:color w:val="000000"/>
              </w:rPr>
            </w:pPr>
            <w:r>
              <w:rPr>
                <w:rFonts w:hint="eastAsia"/>
                <w:color w:val="000000"/>
                <w:lang w:val="en-US"/>
              </w:rPr>
              <w:t>服务部门：后勤管理处</w:t>
            </w:r>
          </w:p>
        </w:tc>
      </w:tr>
      <w:tr>
        <w:tblPrEx>
          <w:tblCellMar>
            <w:top w:w="0" w:type="dxa"/>
            <w:left w:w="0" w:type="dxa"/>
            <w:bottom w:w="0" w:type="dxa"/>
            <w:right w:w="0" w:type="dxa"/>
          </w:tblCellMar>
        </w:tblPrEx>
        <w:trPr>
          <w:trHeight w:val="979" w:hRule="atLeast"/>
        </w:trPr>
        <w:tc>
          <w:tcPr>
            <w:tcW w:w="13353" w:type="dxa"/>
            <w:gridSpan w:val="5"/>
            <w:tcBorders>
              <w:top w:val="nil"/>
              <w:left w:val="nil"/>
              <w:bottom w:val="nil"/>
              <w:right w:val="nil"/>
            </w:tcBorders>
            <w:shd w:val="clear" w:color="auto" w:fill="auto"/>
            <w:tcMar>
              <w:top w:w="12" w:type="dxa"/>
              <w:left w:w="12" w:type="dxa"/>
              <w:right w:w="12" w:type="dxa"/>
            </w:tcMar>
            <w:vAlign w:val="center"/>
          </w:tcPr>
          <w:p>
            <w:pPr>
              <w:widowControl/>
              <w:textAlignment w:val="center"/>
              <w:rPr>
                <w:color w:val="000000"/>
              </w:rPr>
            </w:pPr>
            <w:r>
              <w:rPr>
                <w:rFonts w:hint="eastAsia"/>
                <w:color w:val="000000"/>
                <w:lang w:val="en-US"/>
              </w:rPr>
              <w:t>　　 学院2020-2023年学院窗帘制作安装与维修服务项目，中标单位**********，期限为三年,合同签订方式为一年一签（合同期限为2020.*.*-2023.*.*），一年服务期满后依据上一年服务满意度考核情况，达到90分以上，方能续签下一年合同。</w:t>
            </w:r>
          </w:p>
        </w:tc>
      </w:tr>
      <w:tr>
        <w:tblPrEx>
          <w:tblCellMar>
            <w:top w:w="0" w:type="dxa"/>
            <w:left w:w="0" w:type="dxa"/>
            <w:bottom w:w="0" w:type="dxa"/>
            <w:right w:w="0" w:type="dxa"/>
          </w:tblCellMar>
        </w:tblPrEx>
        <w:trPr>
          <w:trHeight w:val="54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序号</w:t>
            </w:r>
          </w:p>
        </w:tc>
        <w:tc>
          <w:tcPr>
            <w:tcW w:w="4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考核内容</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分值</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评分</w:t>
            </w:r>
          </w:p>
        </w:tc>
        <w:tc>
          <w:tcPr>
            <w:tcW w:w="4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评分细则</w:t>
            </w:r>
          </w:p>
        </w:tc>
      </w:tr>
      <w:tr>
        <w:tblPrEx>
          <w:tblCellMar>
            <w:top w:w="0" w:type="dxa"/>
            <w:left w:w="0" w:type="dxa"/>
            <w:bottom w:w="0" w:type="dxa"/>
            <w:right w:w="0" w:type="dxa"/>
          </w:tblCellMar>
        </w:tblPrEx>
        <w:trPr>
          <w:trHeight w:val="645"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1</w:t>
            </w:r>
          </w:p>
        </w:tc>
        <w:tc>
          <w:tcPr>
            <w:tcW w:w="4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遵守学院各项规章制度</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10</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color w:val="000000"/>
              </w:rPr>
            </w:pPr>
          </w:p>
        </w:tc>
        <w:tc>
          <w:tcPr>
            <w:tcW w:w="4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color w:val="000000"/>
              </w:rPr>
            </w:pPr>
            <w:r>
              <w:rPr>
                <w:rFonts w:hint="eastAsia"/>
                <w:color w:val="000000"/>
                <w:lang w:val="en-US"/>
              </w:rPr>
              <w:t>按全年违规次数减分（违规一次减5分）</w:t>
            </w:r>
          </w:p>
        </w:tc>
      </w:tr>
      <w:tr>
        <w:tblPrEx>
          <w:tblCellMar>
            <w:top w:w="0" w:type="dxa"/>
            <w:left w:w="0" w:type="dxa"/>
            <w:bottom w:w="0" w:type="dxa"/>
            <w:right w:w="0"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窗帘维修安装工作及时性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textAlignment w:val="center"/>
              <w:rPr>
                <w:color w:val="000000"/>
              </w:rPr>
            </w:pPr>
            <w:r>
              <w:rPr>
                <w:rFonts w:hint="eastAsia"/>
                <w:color w:val="000000"/>
                <w:lang w:val="en-US"/>
              </w:rPr>
              <w:t>按全年维修工作不及时性减分（一次2分）</w:t>
            </w:r>
          </w:p>
        </w:tc>
      </w:tr>
      <w:tr>
        <w:tblPrEx>
          <w:tblCellMar>
            <w:top w:w="0" w:type="dxa"/>
            <w:left w:w="0" w:type="dxa"/>
            <w:bottom w:w="0" w:type="dxa"/>
            <w:right w:w="0" w:type="dxa"/>
          </w:tblCellMar>
        </w:tblPrEx>
        <w:trPr>
          <w:trHeight w:val="645"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安全事故发生率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textAlignment w:val="center"/>
              <w:rPr>
                <w:color w:val="000000"/>
              </w:rPr>
            </w:pPr>
            <w:r>
              <w:rPr>
                <w:rFonts w:hint="eastAsia"/>
                <w:color w:val="000000"/>
                <w:lang w:val="en-US"/>
              </w:rPr>
              <w:t>按全年发生次数减分（一次5分）</w:t>
            </w:r>
          </w:p>
        </w:tc>
      </w:tr>
      <w:tr>
        <w:tblPrEx>
          <w:tblCellMar>
            <w:top w:w="0" w:type="dxa"/>
            <w:left w:w="0" w:type="dxa"/>
            <w:bottom w:w="0" w:type="dxa"/>
            <w:right w:w="0"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维修施工质量，是否有以次充好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textAlignment w:val="center"/>
              <w:rPr>
                <w:color w:val="000000"/>
              </w:rPr>
            </w:pPr>
            <w:r>
              <w:rPr>
                <w:rFonts w:hint="eastAsia"/>
                <w:color w:val="000000"/>
                <w:lang w:val="en-US"/>
              </w:rPr>
              <w:t>按全年合格次数减分（一次2分）</w:t>
            </w:r>
          </w:p>
        </w:tc>
      </w:tr>
      <w:tr>
        <w:tblPrEx>
          <w:tblCellMar>
            <w:top w:w="0" w:type="dxa"/>
            <w:left w:w="0" w:type="dxa"/>
            <w:bottom w:w="0" w:type="dxa"/>
            <w:right w:w="0" w:type="dxa"/>
          </w:tblCellMar>
        </w:tblPrEx>
        <w:trPr>
          <w:trHeight w:val="645"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维修过程中注重文明施工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textAlignment w:val="center"/>
              <w:rPr>
                <w:color w:val="000000"/>
              </w:rPr>
            </w:pPr>
            <w:r>
              <w:rPr>
                <w:rFonts w:hint="eastAsia"/>
                <w:color w:val="000000"/>
                <w:lang w:val="en-US"/>
              </w:rPr>
              <w:t>按全年不文明施工次数减分（一次3分）</w:t>
            </w:r>
          </w:p>
        </w:tc>
      </w:tr>
      <w:tr>
        <w:tblPrEx>
          <w:tblCellMar>
            <w:top w:w="0" w:type="dxa"/>
            <w:left w:w="0" w:type="dxa"/>
            <w:bottom w:w="0" w:type="dxa"/>
            <w:right w:w="0"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接受工作、服务态度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textAlignment w:val="center"/>
              <w:rPr>
                <w:color w:val="000000"/>
              </w:rPr>
            </w:pPr>
            <w:r>
              <w:rPr>
                <w:rFonts w:hint="eastAsia"/>
                <w:color w:val="000000"/>
                <w:lang w:val="en-US"/>
              </w:rPr>
              <w:t>按全年不接受工作或恶劣态度次数减分（一次2分）</w:t>
            </w:r>
          </w:p>
        </w:tc>
      </w:tr>
      <w:tr>
        <w:tblPrEx>
          <w:tblCellMar>
            <w:top w:w="0" w:type="dxa"/>
            <w:left w:w="0" w:type="dxa"/>
            <w:bottom w:w="0" w:type="dxa"/>
            <w:right w:w="0" w:type="dxa"/>
          </w:tblCellMar>
        </w:tblPrEx>
        <w:trPr>
          <w:trHeight w:val="645"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主动工作能力性，能否主动发现问题积极配合处理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textAlignment w:val="center"/>
              <w:rPr>
                <w:color w:val="000000"/>
              </w:rPr>
            </w:pPr>
            <w:r>
              <w:rPr>
                <w:rFonts w:hint="eastAsia"/>
                <w:color w:val="000000"/>
                <w:lang w:val="en-US"/>
              </w:rPr>
              <w:t>按全年维修工作不主动配合次数减分（一次1分）</w:t>
            </w:r>
          </w:p>
        </w:tc>
      </w:tr>
      <w:tr>
        <w:tblPrEx>
          <w:tblCellMar>
            <w:top w:w="0" w:type="dxa"/>
            <w:left w:w="0" w:type="dxa"/>
            <w:bottom w:w="0" w:type="dxa"/>
            <w:right w:w="0"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应急处理事项配合程度与及时性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textAlignment w:val="center"/>
              <w:rPr>
                <w:color w:val="000000"/>
              </w:rPr>
            </w:pPr>
            <w:r>
              <w:rPr>
                <w:rFonts w:hint="eastAsia"/>
                <w:color w:val="000000"/>
                <w:lang w:val="en-US"/>
              </w:rPr>
              <w:t>按全年不配合或不及时次数减分（一次2分）</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000000"/>
              </w:rPr>
            </w:pPr>
          </w:p>
        </w:tc>
      </w:tr>
      <w:tr>
        <w:tblPrEx>
          <w:tblCellMar>
            <w:top w:w="0" w:type="dxa"/>
            <w:left w:w="0" w:type="dxa"/>
            <w:bottom w:w="0" w:type="dxa"/>
            <w:right w:w="0" w:type="dxa"/>
          </w:tblCellMar>
        </w:tblPrEx>
        <w:trPr>
          <w:trHeight w:val="288" w:hRule="atLeast"/>
        </w:trPr>
        <w:tc>
          <w:tcPr>
            <w:tcW w:w="0" w:type="auto"/>
            <w:tcBorders>
              <w:top w:val="nil"/>
              <w:left w:val="nil"/>
              <w:bottom w:val="nil"/>
              <w:right w:val="nil"/>
            </w:tcBorders>
            <w:shd w:val="clear" w:color="auto" w:fill="auto"/>
            <w:noWrap/>
            <w:tcMar>
              <w:top w:w="12" w:type="dxa"/>
              <w:left w:w="12" w:type="dxa"/>
              <w:right w:w="12" w:type="dxa"/>
            </w:tcMar>
            <w:vAlign w:val="bottom"/>
          </w:tcPr>
          <w:p>
            <w:pPr>
              <w:jc w:val="center"/>
              <w:rPr>
                <w:color w:val="000000"/>
              </w:rPr>
            </w:pPr>
          </w:p>
        </w:tc>
        <w:tc>
          <w:tcPr>
            <w:tcW w:w="4860" w:type="dxa"/>
            <w:tcBorders>
              <w:top w:val="nil"/>
              <w:left w:val="nil"/>
              <w:bottom w:val="nil"/>
              <w:right w:val="nil"/>
            </w:tcBorders>
            <w:shd w:val="clear" w:color="auto" w:fill="auto"/>
            <w:tcMar>
              <w:top w:w="12" w:type="dxa"/>
              <w:left w:w="12" w:type="dxa"/>
              <w:right w:w="12" w:type="dxa"/>
            </w:tcMar>
            <w:vAlign w:val="bottom"/>
          </w:tcPr>
          <w:p>
            <w:pPr>
              <w:widowControl/>
              <w:jc w:val="center"/>
              <w:textAlignment w:val="bottom"/>
              <w:rPr>
                <w:color w:val="000000"/>
              </w:rPr>
            </w:pPr>
            <w:r>
              <w:rPr>
                <w:rFonts w:hint="eastAsia"/>
                <w:color w:val="000000"/>
                <w:lang w:val="en-US"/>
              </w:rPr>
              <w:t>是否同意签订（　同意　　　　不同意）</w:t>
            </w:r>
          </w:p>
        </w:tc>
        <w:tc>
          <w:tcPr>
            <w:tcW w:w="0" w:type="auto"/>
            <w:tcBorders>
              <w:top w:val="nil"/>
              <w:left w:val="nil"/>
              <w:bottom w:val="nil"/>
              <w:right w:val="nil"/>
            </w:tcBorders>
            <w:shd w:val="clear" w:color="auto" w:fill="auto"/>
            <w:noWrap/>
            <w:tcMar>
              <w:top w:w="12" w:type="dxa"/>
              <w:left w:w="12" w:type="dxa"/>
              <w:right w:w="12" w:type="dxa"/>
            </w:tcMar>
            <w:vAlign w:val="bottom"/>
          </w:tcPr>
          <w:p>
            <w:pPr>
              <w:widowControl/>
              <w:jc w:val="right"/>
              <w:textAlignment w:val="bottom"/>
              <w:rPr>
                <w:color w:val="000000"/>
              </w:rPr>
            </w:pPr>
            <w:r>
              <w:rPr>
                <w:rFonts w:hint="eastAsia"/>
                <w:color w:val="000000"/>
                <w:lang w:val="en-US"/>
              </w:rPr>
              <w:t>考评人员：</w:t>
            </w:r>
          </w:p>
        </w:tc>
        <w:tc>
          <w:tcPr>
            <w:tcW w:w="0" w:type="auto"/>
            <w:tcBorders>
              <w:top w:val="nil"/>
              <w:left w:val="nil"/>
              <w:bottom w:val="nil"/>
              <w:right w:val="nil"/>
            </w:tcBorders>
            <w:shd w:val="clear" w:color="auto" w:fill="auto"/>
            <w:noWrap/>
            <w:tcMar>
              <w:top w:w="12" w:type="dxa"/>
              <w:left w:w="12" w:type="dxa"/>
              <w:right w:w="12" w:type="dxa"/>
            </w:tcMar>
            <w:vAlign w:val="bottom"/>
          </w:tcPr>
          <w:p>
            <w:pPr>
              <w:jc w:val="right"/>
              <w:rPr>
                <w:color w:val="000000"/>
              </w:rPr>
            </w:pPr>
          </w:p>
        </w:tc>
        <w:tc>
          <w:tcPr>
            <w:tcW w:w="0" w:type="auto"/>
            <w:tcBorders>
              <w:top w:val="nil"/>
              <w:left w:val="nil"/>
              <w:bottom w:val="nil"/>
              <w:right w:val="nil"/>
            </w:tcBorders>
            <w:shd w:val="clear" w:color="auto" w:fill="auto"/>
            <w:noWrap/>
            <w:tcMar>
              <w:top w:w="12" w:type="dxa"/>
              <w:left w:w="12" w:type="dxa"/>
              <w:right w:w="12" w:type="dxa"/>
            </w:tcMar>
            <w:vAlign w:val="bottom"/>
          </w:tcPr>
          <w:p>
            <w:pPr>
              <w:jc w:val="center"/>
              <w:rPr>
                <w:color w:val="000000"/>
              </w:rPr>
            </w:pPr>
          </w:p>
        </w:tc>
      </w:tr>
    </w:tbl>
    <w:p/>
    <w:p/>
    <w:sectPr>
      <w:pgSz w:w="16783" w:h="11850" w:orient="landscape"/>
      <w:pgMar w:top="1440" w:right="1800" w:bottom="1440" w:left="1800" w:header="720" w:footer="720" w:gutter="0"/>
      <w:cols w:space="720"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7C306"/>
    <w:multiLevelType w:val="singleLevel"/>
    <w:tmpl w:val="3C17C30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8441F"/>
    <w:rsid w:val="00003942"/>
    <w:rsid w:val="00097233"/>
    <w:rsid w:val="00176004"/>
    <w:rsid w:val="001A2AA4"/>
    <w:rsid w:val="00296BA6"/>
    <w:rsid w:val="002D25C8"/>
    <w:rsid w:val="002E6590"/>
    <w:rsid w:val="0036511E"/>
    <w:rsid w:val="003905A8"/>
    <w:rsid w:val="003927F9"/>
    <w:rsid w:val="003C2B70"/>
    <w:rsid w:val="003F3625"/>
    <w:rsid w:val="00493D1A"/>
    <w:rsid w:val="004C39AE"/>
    <w:rsid w:val="006410A4"/>
    <w:rsid w:val="0070783E"/>
    <w:rsid w:val="00732F5E"/>
    <w:rsid w:val="00896B2D"/>
    <w:rsid w:val="008D6D55"/>
    <w:rsid w:val="008E7295"/>
    <w:rsid w:val="009C4ADA"/>
    <w:rsid w:val="00C56643"/>
    <w:rsid w:val="00D0738D"/>
    <w:rsid w:val="00D17EAD"/>
    <w:rsid w:val="00D82FF0"/>
    <w:rsid w:val="00DE2E66"/>
    <w:rsid w:val="00E51A16"/>
    <w:rsid w:val="00E8441F"/>
    <w:rsid w:val="00EA1C12"/>
    <w:rsid w:val="00F0604A"/>
    <w:rsid w:val="00F56DB5"/>
    <w:rsid w:val="00FF534D"/>
    <w:rsid w:val="00FF7AC6"/>
    <w:rsid w:val="014468F6"/>
    <w:rsid w:val="016A2DA9"/>
    <w:rsid w:val="01E21671"/>
    <w:rsid w:val="025F014F"/>
    <w:rsid w:val="05181967"/>
    <w:rsid w:val="05492416"/>
    <w:rsid w:val="06E710E6"/>
    <w:rsid w:val="090770CC"/>
    <w:rsid w:val="0B7B3DFA"/>
    <w:rsid w:val="0C06722F"/>
    <w:rsid w:val="0C1629B5"/>
    <w:rsid w:val="0C491CC8"/>
    <w:rsid w:val="0D511D80"/>
    <w:rsid w:val="0D942D48"/>
    <w:rsid w:val="0E3C0BF9"/>
    <w:rsid w:val="0EAF01AB"/>
    <w:rsid w:val="0F3B0E2D"/>
    <w:rsid w:val="0F5B2530"/>
    <w:rsid w:val="114E76A3"/>
    <w:rsid w:val="120F6754"/>
    <w:rsid w:val="125A03FB"/>
    <w:rsid w:val="133F1E25"/>
    <w:rsid w:val="13A04913"/>
    <w:rsid w:val="13E6655D"/>
    <w:rsid w:val="13E749A9"/>
    <w:rsid w:val="15A1659C"/>
    <w:rsid w:val="169C29DE"/>
    <w:rsid w:val="16DD548F"/>
    <w:rsid w:val="17502FB3"/>
    <w:rsid w:val="181E26C5"/>
    <w:rsid w:val="1AB41C2F"/>
    <w:rsid w:val="1AD14EF9"/>
    <w:rsid w:val="1B205DCC"/>
    <w:rsid w:val="1B9E271C"/>
    <w:rsid w:val="1BBD78F6"/>
    <w:rsid w:val="1C7D59BD"/>
    <w:rsid w:val="1CEC0F29"/>
    <w:rsid w:val="1CF759BE"/>
    <w:rsid w:val="1CFE13D1"/>
    <w:rsid w:val="1D0563EE"/>
    <w:rsid w:val="1E20666F"/>
    <w:rsid w:val="1F730E11"/>
    <w:rsid w:val="2013507E"/>
    <w:rsid w:val="202D05BB"/>
    <w:rsid w:val="20EA7482"/>
    <w:rsid w:val="21352126"/>
    <w:rsid w:val="21936FFC"/>
    <w:rsid w:val="229B46EB"/>
    <w:rsid w:val="24147E99"/>
    <w:rsid w:val="275D2F59"/>
    <w:rsid w:val="275F10B8"/>
    <w:rsid w:val="276654C0"/>
    <w:rsid w:val="27BB7B3A"/>
    <w:rsid w:val="27C173A1"/>
    <w:rsid w:val="285D486D"/>
    <w:rsid w:val="28CF2599"/>
    <w:rsid w:val="29B94F5F"/>
    <w:rsid w:val="2B447DBC"/>
    <w:rsid w:val="2BD0117A"/>
    <w:rsid w:val="2BDF4DB7"/>
    <w:rsid w:val="2E510EA1"/>
    <w:rsid w:val="2EE51136"/>
    <w:rsid w:val="3073301B"/>
    <w:rsid w:val="317E5A4D"/>
    <w:rsid w:val="3288079B"/>
    <w:rsid w:val="32C75EB3"/>
    <w:rsid w:val="32FE535F"/>
    <w:rsid w:val="35040F8F"/>
    <w:rsid w:val="35787895"/>
    <w:rsid w:val="35864BB0"/>
    <w:rsid w:val="35B16A15"/>
    <w:rsid w:val="36885777"/>
    <w:rsid w:val="3741124E"/>
    <w:rsid w:val="38BC2177"/>
    <w:rsid w:val="38C4144A"/>
    <w:rsid w:val="38DB5BD8"/>
    <w:rsid w:val="395C0639"/>
    <w:rsid w:val="39E9671C"/>
    <w:rsid w:val="39F92D68"/>
    <w:rsid w:val="3A2E6109"/>
    <w:rsid w:val="3AB20131"/>
    <w:rsid w:val="3B0E1A48"/>
    <w:rsid w:val="3B350171"/>
    <w:rsid w:val="3E7B6FAD"/>
    <w:rsid w:val="3F016513"/>
    <w:rsid w:val="403F1EFE"/>
    <w:rsid w:val="40D2244B"/>
    <w:rsid w:val="40EC1294"/>
    <w:rsid w:val="43975276"/>
    <w:rsid w:val="443B7ACB"/>
    <w:rsid w:val="44B91234"/>
    <w:rsid w:val="45A75430"/>
    <w:rsid w:val="46124DF8"/>
    <w:rsid w:val="479F3609"/>
    <w:rsid w:val="47B64919"/>
    <w:rsid w:val="4804431D"/>
    <w:rsid w:val="48A669AC"/>
    <w:rsid w:val="48DA1842"/>
    <w:rsid w:val="48E272A5"/>
    <w:rsid w:val="4B557D60"/>
    <w:rsid w:val="4C8A5AD5"/>
    <w:rsid w:val="4EDF664D"/>
    <w:rsid w:val="503F25B6"/>
    <w:rsid w:val="51170B07"/>
    <w:rsid w:val="5119109F"/>
    <w:rsid w:val="517E4471"/>
    <w:rsid w:val="52274104"/>
    <w:rsid w:val="53BA3974"/>
    <w:rsid w:val="543B4222"/>
    <w:rsid w:val="56E55003"/>
    <w:rsid w:val="57C44584"/>
    <w:rsid w:val="582B4B02"/>
    <w:rsid w:val="58885F01"/>
    <w:rsid w:val="5AA16A1D"/>
    <w:rsid w:val="5C69402A"/>
    <w:rsid w:val="5F390785"/>
    <w:rsid w:val="5F9D1A91"/>
    <w:rsid w:val="5FC16637"/>
    <w:rsid w:val="5FC45CC7"/>
    <w:rsid w:val="63435913"/>
    <w:rsid w:val="63FE003A"/>
    <w:rsid w:val="64063E4F"/>
    <w:rsid w:val="646E5BDE"/>
    <w:rsid w:val="6540578E"/>
    <w:rsid w:val="691656DF"/>
    <w:rsid w:val="699A34E2"/>
    <w:rsid w:val="6B2D0C29"/>
    <w:rsid w:val="6C2877F0"/>
    <w:rsid w:val="6E3E399B"/>
    <w:rsid w:val="6E725DD2"/>
    <w:rsid w:val="6ED0734B"/>
    <w:rsid w:val="6F8D5FF4"/>
    <w:rsid w:val="6FD701B0"/>
    <w:rsid w:val="71934765"/>
    <w:rsid w:val="73F252F2"/>
    <w:rsid w:val="73F95C40"/>
    <w:rsid w:val="74612B59"/>
    <w:rsid w:val="7520660D"/>
    <w:rsid w:val="76746FED"/>
    <w:rsid w:val="77EA3FD9"/>
    <w:rsid w:val="791724B2"/>
    <w:rsid w:val="7A3E5B3C"/>
    <w:rsid w:val="7AA252A3"/>
    <w:rsid w:val="7AF05C16"/>
    <w:rsid w:val="7B5D729A"/>
    <w:rsid w:val="7BD81A73"/>
    <w:rsid w:val="7D5F603A"/>
    <w:rsid w:val="7FB43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b/>
      <w:bCs/>
      <w:sz w:val="28"/>
      <w:szCs w:val="28"/>
    </w:rPr>
  </w:style>
  <w:style w:type="paragraph" w:styleId="3">
    <w:name w:val="Plain Text"/>
    <w:basedOn w:val="1"/>
    <w:link w:val="13"/>
    <w:unhideWhenUsed/>
    <w:qFormat/>
    <w:uiPriority w:val="99"/>
    <w:pPr>
      <w:autoSpaceDE/>
      <w:autoSpaceDN/>
      <w:jc w:val="both"/>
    </w:pPr>
    <w:rPr>
      <w:rFonts w:hAnsi="Courier New" w:cs="Courier New"/>
      <w:kern w:val="2"/>
      <w:sz w:val="21"/>
      <w:szCs w:val="21"/>
      <w:lang w:val="en-US" w:bidi="ar-SA"/>
    </w:rPr>
  </w:style>
  <w:style w:type="paragraph" w:styleId="4">
    <w:name w:val="Balloon Text"/>
    <w:basedOn w:val="1"/>
    <w:link w:val="14"/>
    <w:qFormat/>
    <w:uiPriority w:val="0"/>
    <w:rPr>
      <w:sz w:val="18"/>
      <w:szCs w:val="18"/>
    </w:rPr>
  </w:style>
  <w:style w:type="paragraph" w:styleId="5">
    <w:name w:val="footer"/>
    <w:basedOn w:val="1"/>
    <w:link w:val="16"/>
    <w:qFormat/>
    <w:uiPriority w:val="0"/>
    <w:pPr>
      <w:tabs>
        <w:tab w:val="center" w:pos="4153"/>
        <w:tab w:val="right" w:pos="8306"/>
      </w:tabs>
      <w:snapToGrid w:val="0"/>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纯文本 Char"/>
    <w:basedOn w:val="8"/>
    <w:link w:val="3"/>
    <w:qFormat/>
    <w:uiPriority w:val="99"/>
    <w:rPr>
      <w:rFonts w:ascii="宋体" w:hAnsi="Courier New" w:cs="Courier New"/>
      <w:kern w:val="2"/>
      <w:sz w:val="21"/>
      <w:szCs w:val="21"/>
    </w:rPr>
  </w:style>
  <w:style w:type="character" w:customStyle="1" w:styleId="14">
    <w:name w:val="批注框文本 Char"/>
    <w:basedOn w:val="8"/>
    <w:link w:val="4"/>
    <w:qFormat/>
    <w:uiPriority w:val="0"/>
    <w:rPr>
      <w:rFonts w:ascii="宋体" w:hAnsi="宋体" w:cs="宋体"/>
      <w:sz w:val="18"/>
      <w:szCs w:val="18"/>
      <w:lang w:val="zh-CN" w:bidi="zh-CN"/>
    </w:rPr>
  </w:style>
  <w:style w:type="character" w:customStyle="1" w:styleId="15">
    <w:name w:val="页眉 Char"/>
    <w:basedOn w:val="8"/>
    <w:link w:val="6"/>
    <w:qFormat/>
    <w:uiPriority w:val="0"/>
    <w:rPr>
      <w:rFonts w:ascii="宋体" w:hAnsi="宋体" w:cs="宋体"/>
      <w:sz w:val="18"/>
      <w:szCs w:val="18"/>
      <w:lang w:val="zh-CN" w:bidi="zh-CN"/>
    </w:rPr>
  </w:style>
  <w:style w:type="character" w:customStyle="1" w:styleId="16">
    <w:name w:val="页脚 Char"/>
    <w:basedOn w:val="8"/>
    <w:link w:val="5"/>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BA8028-4E00-438D-BD74-E2ED2BB907B8}">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611</Words>
  <Characters>3488</Characters>
  <Lines>29</Lines>
  <Paragraphs>8</Paragraphs>
  <TotalTime>26</TotalTime>
  <ScaleCrop>false</ScaleCrop>
  <LinksUpToDate>false</LinksUpToDate>
  <CharactersWithSpaces>4091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2018-04-03T01:33:00Z</dcterms:created>
  <dc:creator>joycornwu</dc:creator>
  <cp:lastModifiedBy>Dell</cp:lastModifiedBy>
  <cp:lastPrinted>2020-05-25T06:58:00Z</cp:lastPrinted>
  <dcterms:modified xsi:type="dcterms:W3CDTF">2020-05-29T00:56:03Z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2018-03-30T00:00:00Z</vt:filetime>
  </property>
  <property fmtid="{D5CDD505-2E9C-101B-9397-08002B2CF9AE}" pid="3" name="Creator">
    <vt:lpwstr>Microsoft® Excel® 2013</vt:lpwstr>
  </property>
  <property fmtid="{D5CDD505-2E9C-101B-9397-08002B2CF9AE}" pid="4" name="LastSaved">
    <vt:filetime>2018-04-03T00:00:00Z</vt:filetime>
  </property>
  <property fmtid="{D5CDD505-2E9C-101B-9397-08002B2CF9AE}" pid="5" name="KSOProductBuildVer">
    <vt:lpwstr>2052-11.1.0.9740</vt:lpwstr>
  </property>
</Properties>
</file>